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F4D77" w14:textId="191EE1D6" w:rsidR="009A06B9" w:rsidRDefault="009A06B9" w:rsidP="009A06B9">
      <w:pPr>
        <w:spacing w:after="0" w:line="240" w:lineRule="auto"/>
        <w:ind w:firstLine="720"/>
        <w:jc w:val="center"/>
        <w:rPr>
          <w:rFonts w:ascii="Times New Roman" w:eastAsia="Calibri" w:hAnsi="Times New Roman" w:cs="Times New Roman"/>
          <w:b/>
          <w:bCs/>
          <w:iCs/>
          <w:lang w:val="pl-PL"/>
        </w:rPr>
      </w:pPr>
      <w:r w:rsidRPr="009A06B9">
        <w:rPr>
          <w:rFonts w:ascii="Times New Roman" w:eastAsia="Calibri" w:hAnsi="Times New Roman" w:cs="Times New Roman"/>
          <w:b/>
          <w:bCs/>
          <w:iCs/>
          <w:lang w:val="pl-PL"/>
        </w:rPr>
        <w:t xml:space="preserve">OBRAZLOŽENJE OPĆEG DIJELA </w:t>
      </w:r>
      <w:r w:rsidR="008B3230">
        <w:rPr>
          <w:rFonts w:ascii="Times New Roman" w:eastAsia="Calibri" w:hAnsi="Times New Roman" w:cs="Times New Roman"/>
          <w:b/>
          <w:bCs/>
          <w:iCs/>
          <w:lang w:val="pl-PL"/>
        </w:rPr>
        <w:t>IZMJENA I DOPUN</w:t>
      </w:r>
      <w:r w:rsidR="008B3230" w:rsidRPr="008B3230">
        <w:rPr>
          <w:rFonts w:ascii="Times New Roman" w:eastAsia="Calibri" w:hAnsi="Times New Roman" w:cs="Times New Roman"/>
          <w:b/>
          <w:bCs/>
          <w:iCs/>
          <w:lang w:val="pl-PL"/>
        </w:rPr>
        <w:t xml:space="preserve">A </w:t>
      </w:r>
      <w:r w:rsidRPr="008B3230">
        <w:rPr>
          <w:rFonts w:ascii="Times New Roman" w:eastAsia="Calibri" w:hAnsi="Times New Roman" w:cs="Times New Roman"/>
          <w:b/>
          <w:bCs/>
          <w:iCs/>
          <w:lang w:val="pl-PL"/>
        </w:rPr>
        <w:t xml:space="preserve">FINANCIJSKOG </w:t>
      </w:r>
      <w:r w:rsidRPr="009A06B9">
        <w:rPr>
          <w:rFonts w:ascii="Times New Roman" w:eastAsia="Calibri" w:hAnsi="Times New Roman" w:cs="Times New Roman"/>
          <w:b/>
          <w:bCs/>
          <w:iCs/>
          <w:lang w:val="pl-PL"/>
        </w:rPr>
        <w:t>PLANA</w:t>
      </w:r>
    </w:p>
    <w:p w14:paraId="35AD11E7" w14:textId="77777777" w:rsidR="009A06B9" w:rsidRPr="009A06B9" w:rsidRDefault="009A06B9" w:rsidP="009A06B9">
      <w:pPr>
        <w:spacing w:after="0" w:line="240" w:lineRule="auto"/>
        <w:ind w:firstLine="720"/>
        <w:jc w:val="center"/>
        <w:rPr>
          <w:rFonts w:ascii="Times New Roman" w:eastAsia="Calibri" w:hAnsi="Times New Roman" w:cs="Times New Roman"/>
          <w:b/>
          <w:bCs/>
          <w:iCs/>
          <w:lang w:val="pl-PL"/>
        </w:rPr>
      </w:pPr>
    </w:p>
    <w:p w14:paraId="4B9499D1" w14:textId="77777777" w:rsidR="009A06B9" w:rsidRDefault="009A06B9" w:rsidP="00E1001B">
      <w:pPr>
        <w:spacing w:after="0" w:line="240" w:lineRule="auto"/>
        <w:ind w:firstLine="720"/>
        <w:jc w:val="both"/>
        <w:rPr>
          <w:rFonts w:ascii="Times New Roman" w:eastAsia="Calibri" w:hAnsi="Times New Roman" w:cs="Times New Roman"/>
          <w:b/>
          <w:bCs/>
          <w:i/>
          <w:iCs/>
          <w:u w:val="single"/>
          <w:lang w:val="pl-PL"/>
        </w:rPr>
      </w:pPr>
    </w:p>
    <w:p w14:paraId="1EDDCB08" w14:textId="77777777" w:rsidR="00E1001B" w:rsidRPr="00057F9B" w:rsidRDefault="00E1001B" w:rsidP="00D149F9">
      <w:pPr>
        <w:spacing w:after="0" w:line="240" w:lineRule="auto"/>
        <w:jc w:val="both"/>
        <w:rPr>
          <w:rFonts w:ascii="Times New Roman" w:eastAsia="Calibri" w:hAnsi="Times New Roman" w:cs="Times New Roman"/>
          <w:b/>
          <w:sz w:val="20"/>
          <w:szCs w:val="20"/>
        </w:rPr>
      </w:pPr>
      <w:r w:rsidRPr="00057F9B">
        <w:rPr>
          <w:rFonts w:ascii="Times New Roman" w:eastAsia="Calibri" w:hAnsi="Times New Roman" w:cs="Times New Roman"/>
          <w:b/>
          <w:bCs/>
          <w:i/>
          <w:iCs/>
          <w:u w:val="single"/>
          <w:lang w:val="pl-PL"/>
        </w:rPr>
        <w:t>PRIHODI</w:t>
      </w:r>
    </w:p>
    <w:p w14:paraId="3DC2BF28" w14:textId="77777777" w:rsidR="00E1001B" w:rsidRPr="00057F9B" w:rsidRDefault="00E1001B" w:rsidP="00E1001B">
      <w:pPr>
        <w:spacing w:after="0" w:line="240" w:lineRule="auto"/>
        <w:jc w:val="both"/>
        <w:rPr>
          <w:rFonts w:ascii="Times New Roman" w:eastAsia="Calibri" w:hAnsi="Times New Roman" w:cs="Times New Roman"/>
          <w:sz w:val="20"/>
          <w:szCs w:val="20"/>
        </w:rPr>
      </w:pPr>
    </w:p>
    <w:p w14:paraId="732C45C8" w14:textId="489CEA7A" w:rsidR="00E1001B" w:rsidRPr="00057F9B" w:rsidRDefault="00E1001B" w:rsidP="00E1001B">
      <w:pPr>
        <w:spacing w:after="0" w:line="240" w:lineRule="auto"/>
        <w:jc w:val="both"/>
        <w:rPr>
          <w:rFonts w:ascii="Arial" w:eastAsia="Calibri" w:hAnsi="Arial" w:cs="Arial"/>
          <w:sz w:val="20"/>
          <w:szCs w:val="20"/>
          <w:lang w:eastAsia="hr-HR"/>
        </w:rPr>
      </w:pPr>
      <w:r w:rsidRPr="00057F9B">
        <w:rPr>
          <w:rFonts w:ascii="Times New Roman" w:eastAsia="Calibri" w:hAnsi="Times New Roman" w:cs="Times New Roman"/>
          <w:sz w:val="20"/>
          <w:szCs w:val="20"/>
        </w:rPr>
        <w:tab/>
        <w:t>Prihodi za 202</w:t>
      </w:r>
      <w:r w:rsidR="00546B08">
        <w:rPr>
          <w:rFonts w:ascii="Times New Roman" w:eastAsia="Calibri" w:hAnsi="Times New Roman" w:cs="Times New Roman"/>
          <w:sz w:val="20"/>
          <w:szCs w:val="20"/>
        </w:rPr>
        <w:t>4</w:t>
      </w:r>
      <w:r w:rsidRPr="00057F9B">
        <w:rPr>
          <w:rFonts w:ascii="Times New Roman" w:eastAsia="Calibri" w:hAnsi="Times New Roman" w:cs="Times New Roman"/>
          <w:sz w:val="20"/>
          <w:szCs w:val="20"/>
        </w:rPr>
        <w:t xml:space="preserve">. godinu planirani su u iznosu od  </w:t>
      </w:r>
      <w:r w:rsidR="00546B08">
        <w:rPr>
          <w:rFonts w:ascii="Times New Roman" w:eastAsia="Calibri" w:hAnsi="Times New Roman" w:cs="Times New Roman"/>
          <w:sz w:val="20"/>
          <w:szCs w:val="20"/>
        </w:rPr>
        <w:t>341.000</w:t>
      </w:r>
      <w:r w:rsidR="007E3A89">
        <w:rPr>
          <w:rFonts w:ascii="Times New Roman" w:eastAsia="Calibri" w:hAnsi="Times New Roman" w:cs="Times New Roman"/>
          <w:sz w:val="20"/>
          <w:szCs w:val="20"/>
        </w:rPr>
        <w:t xml:space="preserve"> </w:t>
      </w:r>
      <w:r w:rsidR="00D11876" w:rsidRPr="00D11876">
        <w:rPr>
          <w:rFonts w:ascii="Times New Roman" w:eastAsia="Calibri" w:hAnsi="Times New Roman" w:cs="Times New Roman"/>
          <w:sz w:val="20"/>
          <w:szCs w:val="20"/>
        </w:rPr>
        <w:t>eura</w:t>
      </w:r>
      <w:r w:rsidRPr="00057F9B">
        <w:rPr>
          <w:rFonts w:ascii="Times New Roman" w:eastAsia="Calibri" w:hAnsi="Times New Roman" w:cs="Times New Roman"/>
          <w:sz w:val="20"/>
          <w:szCs w:val="20"/>
        </w:rPr>
        <w:t xml:space="preserve"> </w:t>
      </w:r>
      <w:r w:rsidR="00511B73">
        <w:rPr>
          <w:rFonts w:ascii="Times New Roman" w:eastAsia="Calibri" w:hAnsi="Times New Roman" w:cs="Times New Roman"/>
          <w:sz w:val="20"/>
          <w:szCs w:val="20"/>
        </w:rPr>
        <w:t xml:space="preserve">što s </w:t>
      </w:r>
      <w:r w:rsidRPr="00057F9B">
        <w:rPr>
          <w:rFonts w:ascii="Times New Roman" w:eastAsia="Calibri" w:hAnsi="Times New Roman" w:cs="Times New Roman"/>
          <w:sz w:val="20"/>
          <w:szCs w:val="20"/>
        </w:rPr>
        <w:t xml:space="preserve"> poveća</w:t>
      </w:r>
      <w:r w:rsidR="007E3A89">
        <w:rPr>
          <w:rFonts w:ascii="Times New Roman" w:eastAsia="Calibri" w:hAnsi="Times New Roman" w:cs="Times New Roman"/>
          <w:sz w:val="20"/>
          <w:szCs w:val="20"/>
        </w:rPr>
        <w:t>vaj</w:t>
      </w:r>
      <w:r w:rsidR="00511B73">
        <w:rPr>
          <w:rFonts w:ascii="Times New Roman" w:eastAsia="Calibri" w:hAnsi="Times New Roman" w:cs="Times New Roman"/>
          <w:sz w:val="20"/>
          <w:szCs w:val="20"/>
        </w:rPr>
        <w:t>em prihoda u iznosu od</w:t>
      </w:r>
      <w:r w:rsidR="007E3A89">
        <w:rPr>
          <w:rFonts w:ascii="Times New Roman" w:eastAsia="Calibri" w:hAnsi="Times New Roman" w:cs="Times New Roman"/>
          <w:sz w:val="20"/>
          <w:szCs w:val="20"/>
        </w:rPr>
        <w:t xml:space="preserve"> </w:t>
      </w:r>
      <w:r w:rsidR="00546B08">
        <w:rPr>
          <w:rFonts w:ascii="Times New Roman" w:eastAsia="Calibri" w:hAnsi="Times New Roman" w:cs="Times New Roman"/>
          <w:sz w:val="20"/>
          <w:szCs w:val="20"/>
        </w:rPr>
        <w:t>9.700</w:t>
      </w:r>
      <w:r w:rsidR="007E3A89">
        <w:rPr>
          <w:rFonts w:ascii="Times New Roman" w:eastAsia="Calibri" w:hAnsi="Times New Roman" w:cs="Times New Roman"/>
          <w:sz w:val="20"/>
          <w:szCs w:val="20"/>
        </w:rPr>
        <w:t xml:space="preserve"> eura </w:t>
      </w:r>
      <w:r w:rsidR="00511B73">
        <w:rPr>
          <w:rFonts w:ascii="Times New Roman" w:eastAsia="Calibri" w:hAnsi="Times New Roman" w:cs="Times New Roman"/>
          <w:sz w:val="20"/>
          <w:szCs w:val="20"/>
        </w:rPr>
        <w:t>daje</w:t>
      </w:r>
      <w:r w:rsidR="007E3A89">
        <w:rPr>
          <w:rFonts w:ascii="Times New Roman" w:eastAsia="Calibri" w:hAnsi="Times New Roman" w:cs="Times New Roman"/>
          <w:sz w:val="20"/>
          <w:szCs w:val="20"/>
        </w:rPr>
        <w:t xml:space="preserve"> novi plan za 202</w:t>
      </w:r>
      <w:r w:rsidR="00546B08">
        <w:rPr>
          <w:rFonts w:ascii="Times New Roman" w:eastAsia="Calibri" w:hAnsi="Times New Roman" w:cs="Times New Roman"/>
          <w:sz w:val="20"/>
          <w:szCs w:val="20"/>
        </w:rPr>
        <w:t>4</w:t>
      </w:r>
      <w:r w:rsidR="007E3A89">
        <w:rPr>
          <w:rFonts w:ascii="Times New Roman" w:eastAsia="Calibri" w:hAnsi="Times New Roman" w:cs="Times New Roman"/>
          <w:sz w:val="20"/>
          <w:szCs w:val="20"/>
        </w:rPr>
        <w:t>. godinu</w:t>
      </w:r>
      <w:r w:rsidR="00511B73">
        <w:rPr>
          <w:rFonts w:ascii="Times New Roman" w:eastAsia="Calibri" w:hAnsi="Times New Roman" w:cs="Times New Roman"/>
          <w:sz w:val="20"/>
          <w:szCs w:val="20"/>
        </w:rPr>
        <w:t xml:space="preserve"> u iznosu od </w:t>
      </w:r>
      <w:r w:rsidR="00546B08">
        <w:rPr>
          <w:rFonts w:ascii="Times New Roman" w:eastAsia="Calibri" w:hAnsi="Times New Roman" w:cs="Times New Roman"/>
          <w:sz w:val="20"/>
          <w:szCs w:val="20"/>
        </w:rPr>
        <w:t>350.700</w:t>
      </w:r>
      <w:r w:rsidR="007E3A89">
        <w:rPr>
          <w:rFonts w:ascii="Times New Roman" w:eastAsia="Calibri" w:hAnsi="Times New Roman" w:cs="Times New Roman"/>
          <w:sz w:val="20"/>
          <w:szCs w:val="20"/>
        </w:rPr>
        <w:t xml:space="preserve"> eura</w:t>
      </w:r>
      <w:r w:rsidR="00511B73">
        <w:rPr>
          <w:rFonts w:ascii="Times New Roman" w:eastAsia="Calibri" w:hAnsi="Times New Roman" w:cs="Times New Roman"/>
          <w:sz w:val="20"/>
          <w:szCs w:val="20"/>
        </w:rPr>
        <w:t>.</w:t>
      </w:r>
    </w:p>
    <w:p w14:paraId="047E0B36" w14:textId="77777777" w:rsidR="00E1001B" w:rsidRDefault="00E1001B"/>
    <w:p w14:paraId="7280CC57" w14:textId="01070B6A" w:rsidR="00E1001B" w:rsidRPr="008B3230" w:rsidRDefault="008B3230" w:rsidP="00E1001B">
      <w:pPr>
        <w:spacing w:after="0" w:line="240" w:lineRule="auto"/>
        <w:ind w:firstLine="720"/>
        <w:jc w:val="both"/>
        <w:rPr>
          <w:rFonts w:ascii="Times New Roman" w:eastAsia="Calibri" w:hAnsi="Times New Roman" w:cs="Times New Roman"/>
          <w:sz w:val="20"/>
          <w:szCs w:val="20"/>
          <w:lang w:val="pl-PL"/>
        </w:rPr>
      </w:pPr>
      <w:r w:rsidRPr="008B3230">
        <w:rPr>
          <w:rFonts w:ascii="Times New Roman" w:eastAsia="Calibri" w:hAnsi="Times New Roman" w:cs="Times New Roman"/>
          <w:sz w:val="20"/>
          <w:szCs w:val="20"/>
        </w:rPr>
        <w:t>Povećanje/smanjenje</w:t>
      </w:r>
      <w:r w:rsidR="00E1001B" w:rsidRPr="008B3230">
        <w:rPr>
          <w:rFonts w:ascii="Times New Roman" w:eastAsia="Calibri" w:hAnsi="Times New Roman" w:cs="Times New Roman"/>
          <w:sz w:val="20"/>
          <w:szCs w:val="20"/>
        </w:rPr>
        <w:t xml:space="preserve"> prihod</w:t>
      </w:r>
      <w:r w:rsidRPr="008B3230">
        <w:rPr>
          <w:rFonts w:ascii="Times New Roman" w:eastAsia="Calibri" w:hAnsi="Times New Roman" w:cs="Times New Roman"/>
          <w:sz w:val="20"/>
          <w:szCs w:val="20"/>
        </w:rPr>
        <w:t>a</w:t>
      </w:r>
      <w:r w:rsidR="00E1001B" w:rsidRPr="008B3230">
        <w:rPr>
          <w:rFonts w:ascii="Times New Roman" w:eastAsia="Calibri" w:hAnsi="Times New Roman" w:cs="Times New Roman"/>
          <w:sz w:val="20"/>
          <w:szCs w:val="20"/>
        </w:rPr>
        <w:t xml:space="preserve"> u 202</w:t>
      </w:r>
      <w:r w:rsidR="00546B08">
        <w:rPr>
          <w:rFonts w:ascii="Times New Roman" w:eastAsia="Calibri" w:hAnsi="Times New Roman" w:cs="Times New Roman"/>
          <w:sz w:val="20"/>
          <w:szCs w:val="20"/>
        </w:rPr>
        <w:t>4</w:t>
      </w:r>
      <w:r w:rsidR="00E1001B" w:rsidRPr="008B3230">
        <w:rPr>
          <w:rFonts w:ascii="Times New Roman" w:eastAsia="Calibri" w:hAnsi="Times New Roman" w:cs="Times New Roman"/>
          <w:sz w:val="20"/>
          <w:szCs w:val="20"/>
        </w:rPr>
        <w:t xml:space="preserve">. godini </w:t>
      </w:r>
      <w:r w:rsidR="00E1001B" w:rsidRPr="008B3230">
        <w:rPr>
          <w:rFonts w:ascii="Times New Roman" w:eastAsia="Calibri" w:hAnsi="Times New Roman" w:cs="Times New Roman"/>
          <w:sz w:val="20"/>
          <w:szCs w:val="20"/>
          <w:lang w:val="pl-PL"/>
        </w:rPr>
        <w:t>po skupinama prihoda:</w:t>
      </w:r>
    </w:p>
    <w:p w14:paraId="522C0883" w14:textId="77777777" w:rsidR="00E1001B" w:rsidRPr="00511B73" w:rsidRDefault="00E1001B" w:rsidP="00E1001B">
      <w:pPr>
        <w:spacing w:after="0" w:line="240" w:lineRule="auto"/>
        <w:ind w:firstLine="720"/>
        <w:jc w:val="both"/>
        <w:rPr>
          <w:rFonts w:ascii="Times New Roman" w:eastAsia="Calibri" w:hAnsi="Times New Roman" w:cs="Times New Roman"/>
          <w:color w:val="FF0000"/>
          <w:sz w:val="20"/>
          <w:szCs w:val="20"/>
          <w:lang w:val="pl-PL"/>
        </w:rPr>
      </w:pPr>
    </w:p>
    <w:tbl>
      <w:tblPr>
        <w:tblW w:w="89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7"/>
        <w:gridCol w:w="1559"/>
        <w:gridCol w:w="1417"/>
        <w:gridCol w:w="1701"/>
      </w:tblGrid>
      <w:tr w:rsidR="00FD702D" w:rsidRPr="00511B73" w14:paraId="63524428" w14:textId="77777777" w:rsidTr="009D0090">
        <w:trPr>
          <w:cantSplit/>
        </w:trPr>
        <w:tc>
          <w:tcPr>
            <w:tcW w:w="4287" w:type="dxa"/>
            <w:shd w:val="clear" w:color="auto" w:fill="C0C0C0"/>
            <w:vAlign w:val="center"/>
          </w:tcPr>
          <w:p w14:paraId="7E4F5A6F" w14:textId="77777777" w:rsidR="00FD702D" w:rsidRPr="00130EC2" w:rsidRDefault="00FD702D" w:rsidP="008A26E5">
            <w:pPr>
              <w:spacing w:after="0" w:line="240" w:lineRule="auto"/>
              <w:jc w:val="center"/>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Vrsta prihoda</w:t>
            </w:r>
          </w:p>
        </w:tc>
        <w:tc>
          <w:tcPr>
            <w:tcW w:w="1559" w:type="dxa"/>
            <w:shd w:val="clear" w:color="auto" w:fill="C0C0C0"/>
            <w:vAlign w:val="center"/>
          </w:tcPr>
          <w:p w14:paraId="454D5427" w14:textId="26A8AE00" w:rsidR="00FD702D" w:rsidRPr="00130EC2" w:rsidRDefault="00FD702D" w:rsidP="008A26E5">
            <w:pPr>
              <w:spacing w:after="0" w:line="240" w:lineRule="auto"/>
              <w:jc w:val="center"/>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Plan za 202</w:t>
            </w:r>
            <w:r w:rsidR="001006A4">
              <w:rPr>
                <w:rFonts w:ascii="Times New Roman" w:eastAsia="Calibri" w:hAnsi="Times New Roman" w:cs="Times New Roman"/>
                <w:b/>
                <w:bCs/>
                <w:sz w:val="20"/>
                <w:szCs w:val="20"/>
                <w:lang w:eastAsia="hr-HR"/>
              </w:rPr>
              <w:t>4</w:t>
            </w:r>
            <w:r w:rsidRPr="00130EC2">
              <w:rPr>
                <w:rFonts w:ascii="Times New Roman" w:eastAsia="Calibri" w:hAnsi="Times New Roman" w:cs="Times New Roman"/>
                <w:b/>
                <w:bCs/>
                <w:sz w:val="20"/>
                <w:szCs w:val="20"/>
                <w:lang w:eastAsia="hr-HR"/>
              </w:rPr>
              <w:t>.</w:t>
            </w:r>
          </w:p>
        </w:tc>
        <w:tc>
          <w:tcPr>
            <w:tcW w:w="1417" w:type="dxa"/>
            <w:shd w:val="clear" w:color="auto" w:fill="C0C0C0"/>
          </w:tcPr>
          <w:p w14:paraId="4F7972CF" w14:textId="77777777" w:rsidR="00FD702D" w:rsidRPr="00130EC2" w:rsidRDefault="00FD702D" w:rsidP="008A26E5">
            <w:pPr>
              <w:spacing w:after="0" w:line="240" w:lineRule="auto"/>
              <w:jc w:val="center"/>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Povećanje/</w:t>
            </w:r>
          </w:p>
          <w:p w14:paraId="360C377F" w14:textId="0210898C" w:rsidR="00FD702D" w:rsidRPr="00130EC2" w:rsidRDefault="00FD702D" w:rsidP="008A26E5">
            <w:pPr>
              <w:spacing w:after="0" w:line="240" w:lineRule="auto"/>
              <w:jc w:val="center"/>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smanjenje</w:t>
            </w:r>
          </w:p>
        </w:tc>
        <w:tc>
          <w:tcPr>
            <w:tcW w:w="1701" w:type="dxa"/>
            <w:shd w:val="clear" w:color="auto" w:fill="C0C0C0"/>
          </w:tcPr>
          <w:p w14:paraId="47EA37C2" w14:textId="0BCF1E76" w:rsidR="00FD702D" w:rsidRPr="00130EC2" w:rsidRDefault="00FD702D" w:rsidP="008A26E5">
            <w:pPr>
              <w:spacing w:after="0" w:line="240" w:lineRule="auto"/>
              <w:jc w:val="center"/>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Novi plan za 202</w:t>
            </w:r>
            <w:r w:rsidR="001006A4">
              <w:rPr>
                <w:rFonts w:ascii="Times New Roman" w:eastAsia="Calibri" w:hAnsi="Times New Roman" w:cs="Times New Roman"/>
                <w:b/>
                <w:bCs/>
                <w:sz w:val="20"/>
                <w:szCs w:val="20"/>
                <w:lang w:eastAsia="hr-HR"/>
              </w:rPr>
              <w:t>4</w:t>
            </w:r>
            <w:r w:rsidRPr="00130EC2">
              <w:rPr>
                <w:rFonts w:ascii="Times New Roman" w:eastAsia="Calibri" w:hAnsi="Times New Roman" w:cs="Times New Roman"/>
                <w:b/>
                <w:bCs/>
                <w:sz w:val="20"/>
                <w:szCs w:val="20"/>
                <w:lang w:eastAsia="hr-HR"/>
              </w:rPr>
              <w:t>.</w:t>
            </w:r>
          </w:p>
        </w:tc>
      </w:tr>
      <w:tr w:rsidR="00FD702D" w:rsidRPr="00511B73" w14:paraId="6C95BE78" w14:textId="77777777" w:rsidTr="009D0090">
        <w:trPr>
          <w:cantSplit/>
        </w:trPr>
        <w:tc>
          <w:tcPr>
            <w:tcW w:w="4287" w:type="dxa"/>
          </w:tcPr>
          <w:p w14:paraId="660D9D01" w14:textId="0477C768" w:rsidR="00FD702D" w:rsidRPr="00130EC2" w:rsidRDefault="00546B08" w:rsidP="008A26E5">
            <w:pPr>
              <w:spacing w:after="0" w:line="240" w:lineRule="auto"/>
              <w:rPr>
                <w:rFonts w:ascii="Times New Roman" w:eastAsia="Calibri" w:hAnsi="Times New Roman" w:cs="Times New Roman"/>
                <w:b/>
                <w:bCs/>
                <w:sz w:val="20"/>
                <w:szCs w:val="20"/>
                <w:lang w:eastAsia="hr-HR"/>
              </w:rPr>
            </w:pPr>
            <w:r w:rsidRPr="00546B08">
              <w:rPr>
                <w:rFonts w:ascii="Times New Roman" w:eastAsia="Calibri" w:hAnsi="Times New Roman" w:cs="Times New Roman"/>
                <w:b/>
                <w:bCs/>
                <w:sz w:val="20"/>
                <w:szCs w:val="20"/>
                <w:lang w:eastAsia="hr-HR"/>
              </w:rPr>
              <w:t>Prihodi od prodaje proizvoda i robe te pruženih usluga i prihodi od donacija</w:t>
            </w:r>
          </w:p>
        </w:tc>
        <w:tc>
          <w:tcPr>
            <w:tcW w:w="1559" w:type="dxa"/>
            <w:vAlign w:val="bottom"/>
          </w:tcPr>
          <w:p w14:paraId="334D0D79" w14:textId="2DC5B8A1" w:rsidR="00FD702D" w:rsidRPr="00130EC2" w:rsidRDefault="00546B08" w:rsidP="008A26E5">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66.000</w:t>
            </w:r>
          </w:p>
        </w:tc>
        <w:tc>
          <w:tcPr>
            <w:tcW w:w="1417" w:type="dxa"/>
          </w:tcPr>
          <w:p w14:paraId="6811F1ED" w14:textId="77777777" w:rsidR="00546B08" w:rsidRDefault="00546B08" w:rsidP="008A26E5">
            <w:pPr>
              <w:spacing w:after="0" w:line="240" w:lineRule="auto"/>
              <w:jc w:val="right"/>
              <w:rPr>
                <w:rFonts w:ascii="Times New Roman" w:eastAsia="Calibri" w:hAnsi="Times New Roman" w:cs="Times New Roman"/>
                <w:b/>
                <w:bCs/>
                <w:sz w:val="20"/>
                <w:szCs w:val="20"/>
                <w:lang w:eastAsia="hr-HR"/>
              </w:rPr>
            </w:pPr>
          </w:p>
          <w:p w14:paraId="2BDB5176" w14:textId="1C0788A5" w:rsidR="00FD702D" w:rsidRPr="00130EC2" w:rsidRDefault="00546B08" w:rsidP="008A26E5">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-1.500</w:t>
            </w:r>
          </w:p>
        </w:tc>
        <w:tc>
          <w:tcPr>
            <w:tcW w:w="1701" w:type="dxa"/>
          </w:tcPr>
          <w:p w14:paraId="466A45EC" w14:textId="77777777" w:rsidR="00FD702D" w:rsidRPr="00130EC2" w:rsidRDefault="00FD702D" w:rsidP="008A26E5">
            <w:pPr>
              <w:spacing w:after="0" w:line="240" w:lineRule="auto"/>
              <w:jc w:val="right"/>
              <w:rPr>
                <w:rFonts w:ascii="Times New Roman" w:eastAsia="Calibri" w:hAnsi="Times New Roman" w:cs="Times New Roman"/>
                <w:b/>
                <w:bCs/>
                <w:sz w:val="20"/>
                <w:szCs w:val="20"/>
                <w:lang w:eastAsia="hr-HR"/>
              </w:rPr>
            </w:pPr>
          </w:p>
          <w:p w14:paraId="1FCCFE37" w14:textId="350EAB15" w:rsidR="00FD702D" w:rsidRPr="00130EC2" w:rsidRDefault="00546B08" w:rsidP="008A26E5">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64.500</w:t>
            </w:r>
          </w:p>
        </w:tc>
      </w:tr>
      <w:tr w:rsidR="00FD702D" w:rsidRPr="00511B73" w14:paraId="53BC6104" w14:textId="77777777" w:rsidTr="009D0090">
        <w:trPr>
          <w:cantSplit/>
          <w:trHeight w:val="414"/>
        </w:trPr>
        <w:tc>
          <w:tcPr>
            <w:tcW w:w="4287" w:type="dxa"/>
          </w:tcPr>
          <w:p w14:paraId="47B8E52C" w14:textId="77777777" w:rsidR="00FD702D" w:rsidRPr="00130EC2" w:rsidRDefault="00FD702D" w:rsidP="008A26E5">
            <w:pPr>
              <w:spacing w:after="0" w:line="240" w:lineRule="auto"/>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Prihodi iz nadležnog proračuna i od HZZO-a temeljem ugovornih obveza</w:t>
            </w:r>
          </w:p>
        </w:tc>
        <w:tc>
          <w:tcPr>
            <w:tcW w:w="1559" w:type="dxa"/>
            <w:vAlign w:val="bottom"/>
          </w:tcPr>
          <w:p w14:paraId="1B3CB243" w14:textId="03A7F46C" w:rsidR="00FD702D" w:rsidRPr="00130EC2" w:rsidRDefault="00546B08" w:rsidP="008A26E5">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275.000</w:t>
            </w:r>
          </w:p>
        </w:tc>
        <w:tc>
          <w:tcPr>
            <w:tcW w:w="1417" w:type="dxa"/>
          </w:tcPr>
          <w:p w14:paraId="65EC6F3D" w14:textId="77777777" w:rsidR="00FD702D" w:rsidRPr="00130EC2" w:rsidRDefault="00FD702D" w:rsidP="008A26E5">
            <w:pPr>
              <w:spacing w:after="0" w:line="240" w:lineRule="auto"/>
              <w:jc w:val="right"/>
              <w:rPr>
                <w:rFonts w:ascii="Times New Roman" w:eastAsia="Calibri" w:hAnsi="Times New Roman" w:cs="Times New Roman"/>
                <w:b/>
                <w:bCs/>
                <w:sz w:val="20"/>
                <w:szCs w:val="20"/>
                <w:lang w:eastAsia="hr-HR"/>
              </w:rPr>
            </w:pPr>
          </w:p>
          <w:p w14:paraId="46B9AF10" w14:textId="275F0093" w:rsidR="00FD702D" w:rsidRPr="00130EC2" w:rsidRDefault="00546B08" w:rsidP="008A26E5">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11.200</w:t>
            </w:r>
          </w:p>
        </w:tc>
        <w:tc>
          <w:tcPr>
            <w:tcW w:w="1701" w:type="dxa"/>
          </w:tcPr>
          <w:p w14:paraId="4D63DDF2" w14:textId="77777777" w:rsidR="00FD702D" w:rsidRPr="00130EC2" w:rsidRDefault="00FD702D" w:rsidP="008A26E5">
            <w:pPr>
              <w:spacing w:after="0" w:line="240" w:lineRule="auto"/>
              <w:jc w:val="right"/>
              <w:rPr>
                <w:rFonts w:ascii="Times New Roman" w:eastAsia="Calibri" w:hAnsi="Times New Roman" w:cs="Times New Roman"/>
                <w:b/>
                <w:bCs/>
                <w:sz w:val="20"/>
                <w:szCs w:val="20"/>
                <w:lang w:eastAsia="hr-HR"/>
              </w:rPr>
            </w:pPr>
          </w:p>
          <w:p w14:paraId="63D31D4E" w14:textId="1FB14412" w:rsidR="00FD702D" w:rsidRPr="00130EC2" w:rsidRDefault="00546B08" w:rsidP="008A26E5">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286.200</w:t>
            </w:r>
          </w:p>
        </w:tc>
      </w:tr>
      <w:tr w:rsidR="00FD702D" w:rsidRPr="00511B73" w14:paraId="3E8C6B23" w14:textId="77777777" w:rsidTr="009D0090">
        <w:trPr>
          <w:cantSplit/>
        </w:trPr>
        <w:tc>
          <w:tcPr>
            <w:tcW w:w="4287" w:type="dxa"/>
            <w:shd w:val="clear" w:color="auto" w:fill="C0C0C0"/>
            <w:vAlign w:val="bottom"/>
          </w:tcPr>
          <w:p w14:paraId="5BC9FA1F" w14:textId="77777777" w:rsidR="00FD702D" w:rsidRPr="00130EC2" w:rsidRDefault="00FD702D" w:rsidP="008A26E5">
            <w:pPr>
              <w:spacing w:after="0" w:line="240" w:lineRule="auto"/>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UKUPNO</w:t>
            </w:r>
          </w:p>
        </w:tc>
        <w:tc>
          <w:tcPr>
            <w:tcW w:w="1559" w:type="dxa"/>
            <w:shd w:val="clear" w:color="auto" w:fill="C0C0C0"/>
            <w:vAlign w:val="bottom"/>
          </w:tcPr>
          <w:p w14:paraId="6E8D63C1" w14:textId="2EAD8747" w:rsidR="00FD702D" w:rsidRPr="00130EC2" w:rsidRDefault="00546B08" w:rsidP="008A26E5">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341.000</w:t>
            </w:r>
          </w:p>
        </w:tc>
        <w:tc>
          <w:tcPr>
            <w:tcW w:w="1417" w:type="dxa"/>
            <w:shd w:val="clear" w:color="auto" w:fill="C0C0C0"/>
          </w:tcPr>
          <w:p w14:paraId="2EA92524" w14:textId="3F328CE5" w:rsidR="00FD702D" w:rsidRPr="00130EC2" w:rsidRDefault="00546B08" w:rsidP="008A26E5">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9.700</w:t>
            </w:r>
          </w:p>
        </w:tc>
        <w:tc>
          <w:tcPr>
            <w:tcW w:w="1701" w:type="dxa"/>
            <w:shd w:val="clear" w:color="auto" w:fill="C0C0C0"/>
          </w:tcPr>
          <w:p w14:paraId="6F8D1FFA" w14:textId="3CDB94C1" w:rsidR="00FD702D" w:rsidRPr="00130EC2" w:rsidRDefault="00546B08" w:rsidP="008A26E5">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350.700</w:t>
            </w:r>
          </w:p>
        </w:tc>
      </w:tr>
    </w:tbl>
    <w:p w14:paraId="2BF70378" w14:textId="77777777" w:rsidR="00E1001B" w:rsidRPr="00511B73" w:rsidRDefault="00E1001B">
      <w:pPr>
        <w:rPr>
          <w:color w:val="FF0000"/>
        </w:rPr>
      </w:pPr>
    </w:p>
    <w:p w14:paraId="3E4CDFB2" w14:textId="34857B04" w:rsidR="001430D1" w:rsidRPr="0008108E" w:rsidRDefault="00546B08" w:rsidP="00D149F9">
      <w:pPr>
        <w:ind w:firstLine="709"/>
        <w:jc w:val="both"/>
        <w:rPr>
          <w:rFonts w:ascii="Times New Roman" w:hAnsi="Times New Roman" w:cs="Times New Roman"/>
          <w:sz w:val="20"/>
          <w:szCs w:val="20"/>
        </w:rPr>
      </w:pPr>
      <w:r w:rsidRPr="00546B08">
        <w:rPr>
          <w:rFonts w:ascii="Times New Roman" w:eastAsia="Calibri" w:hAnsi="Times New Roman" w:cs="Times New Roman"/>
          <w:b/>
          <w:bCs/>
          <w:sz w:val="20"/>
          <w:szCs w:val="20"/>
          <w:lang w:eastAsia="hr-HR"/>
        </w:rPr>
        <w:t>Prihodi od prodaje proizvoda i robe te pruženih usluga i prihodi od donacija</w:t>
      </w:r>
      <w:r w:rsidRPr="0008108E">
        <w:rPr>
          <w:rFonts w:ascii="Times New Roman" w:hAnsi="Times New Roman" w:cs="Times New Roman"/>
          <w:sz w:val="20"/>
          <w:szCs w:val="20"/>
        </w:rPr>
        <w:t xml:space="preserve"> </w:t>
      </w:r>
      <w:r w:rsidR="001430D1" w:rsidRPr="0008108E">
        <w:rPr>
          <w:rFonts w:ascii="Times New Roman" w:hAnsi="Times New Roman" w:cs="Times New Roman"/>
          <w:sz w:val="20"/>
          <w:szCs w:val="20"/>
        </w:rPr>
        <w:t xml:space="preserve">odnose se na prihode </w:t>
      </w:r>
      <w:r w:rsidR="001006A4">
        <w:rPr>
          <w:rFonts w:ascii="Times New Roman" w:hAnsi="Times New Roman" w:cs="Times New Roman"/>
          <w:sz w:val="20"/>
          <w:szCs w:val="20"/>
        </w:rPr>
        <w:t>temeljem sklopljenih usluga, a za izvršene usluge</w:t>
      </w:r>
      <w:r w:rsidR="008B3230">
        <w:rPr>
          <w:rFonts w:ascii="Times New Roman" w:hAnsi="Times New Roman" w:cs="Times New Roman"/>
          <w:sz w:val="20"/>
          <w:szCs w:val="20"/>
        </w:rPr>
        <w:t>.</w:t>
      </w:r>
      <w:r w:rsidR="001006A4">
        <w:rPr>
          <w:rFonts w:ascii="Times New Roman" w:hAnsi="Times New Roman" w:cs="Times New Roman"/>
          <w:sz w:val="20"/>
          <w:szCs w:val="20"/>
        </w:rPr>
        <w:t xml:space="preserve"> Očekivani iznos prihoda za 2024. godinu je 64.500 eura.</w:t>
      </w:r>
    </w:p>
    <w:p w14:paraId="262E85FC" w14:textId="1C8342C4" w:rsidR="001430D1" w:rsidRPr="0008108E" w:rsidRDefault="001430D1" w:rsidP="00D149F9">
      <w:pPr>
        <w:ind w:firstLine="709"/>
        <w:jc w:val="both"/>
        <w:rPr>
          <w:rFonts w:ascii="Times New Roman" w:hAnsi="Times New Roman" w:cs="Times New Roman"/>
          <w:sz w:val="20"/>
          <w:szCs w:val="20"/>
        </w:rPr>
      </w:pPr>
      <w:r w:rsidRPr="0008108E">
        <w:rPr>
          <w:rFonts w:ascii="Times New Roman" w:hAnsi="Times New Roman" w:cs="Times New Roman"/>
          <w:b/>
          <w:bCs/>
          <w:i/>
          <w:iCs/>
          <w:sz w:val="20"/>
          <w:szCs w:val="20"/>
          <w:lang w:eastAsia="hr-HR"/>
        </w:rPr>
        <w:t xml:space="preserve">Prihodi iz nadležnog proračuna i od HZZO-a temeljem ugovornih obveza </w:t>
      </w:r>
      <w:r w:rsidRPr="0008108E">
        <w:rPr>
          <w:rFonts w:ascii="Times New Roman" w:hAnsi="Times New Roman" w:cs="Times New Roman"/>
          <w:sz w:val="20"/>
          <w:szCs w:val="20"/>
        </w:rPr>
        <w:t xml:space="preserve">planirani su u iznosu od </w:t>
      </w:r>
      <w:r w:rsidR="001006A4">
        <w:rPr>
          <w:rFonts w:ascii="Times New Roman" w:hAnsi="Times New Roman" w:cs="Times New Roman"/>
          <w:sz w:val="20"/>
          <w:szCs w:val="20"/>
        </w:rPr>
        <w:t>275.000</w:t>
      </w:r>
      <w:r w:rsidRPr="0008108E">
        <w:rPr>
          <w:rFonts w:ascii="Times New Roman" w:hAnsi="Times New Roman" w:cs="Times New Roman"/>
          <w:sz w:val="20"/>
          <w:szCs w:val="20"/>
        </w:rPr>
        <w:t>  eura</w:t>
      </w:r>
      <w:r w:rsidR="00560B29" w:rsidRPr="0008108E">
        <w:rPr>
          <w:rFonts w:ascii="Times New Roman" w:hAnsi="Times New Roman" w:cs="Times New Roman"/>
          <w:sz w:val="20"/>
          <w:szCs w:val="20"/>
        </w:rPr>
        <w:t xml:space="preserve"> te se rebalansom </w:t>
      </w:r>
      <w:r w:rsidR="001006A4">
        <w:rPr>
          <w:rFonts w:ascii="Times New Roman" w:hAnsi="Times New Roman" w:cs="Times New Roman"/>
          <w:sz w:val="20"/>
          <w:szCs w:val="20"/>
        </w:rPr>
        <w:t>povećao</w:t>
      </w:r>
      <w:r w:rsidR="00560B29" w:rsidRPr="0008108E">
        <w:rPr>
          <w:rFonts w:ascii="Times New Roman" w:hAnsi="Times New Roman" w:cs="Times New Roman"/>
          <w:sz w:val="20"/>
          <w:szCs w:val="20"/>
        </w:rPr>
        <w:t xml:space="preserve"> planirani iznos</w:t>
      </w:r>
      <w:r w:rsidR="001006A4">
        <w:rPr>
          <w:rFonts w:ascii="Times New Roman" w:hAnsi="Times New Roman" w:cs="Times New Roman"/>
          <w:sz w:val="20"/>
          <w:szCs w:val="20"/>
        </w:rPr>
        <w:t xml:space="preserve"> na 286.200</w:t>
      </w:r>
      <w:r w:rsidR="00560B29" w:rsidRPr="0008108E">
        <w:rPr>
          <w:rFonts w:ascii="Times New Roman" w:hAnsi="Times New Roman" w:cs="Times New Roman"/>
          <w:sz w:val="20"/>
          <w:szCs w:val="20"/>
        </w:rPr>
        <w:t>. Navedeni prihod</w:t>
      </w:r>
      <w:r w:rsidRPr="0008108E">
        <w:rPr>
          <w:rFonts w:ascii="Times New Roman" w:hAnsi="Times New Roman" w:cs="Times New Roman"/>
          <w:sz w:val="20"/>
          <w:szCs w:val="20"/>
        </w:rPr>
        <w:t xml:space="preserve"> odnosi se  </w:t>
      </w:r>
      <w:r w:rsidRPr="0008108E">
        <w:rPr>
          <w:rFonts w:ascii="Times New Roman" w:hAnsi="Times New Roman" w:cs="Times New Roman"/>
          <w:sz w:val="20"/>
          <w:szCs w:val="20"/>
          <w:lang w:val="pl-PL"/>
        </w:rPr>
        <w:t>na prihode iz nadležnog proračuna</w:t>
      </w:r>
      <w:r w:rsidRPr="0008108E">
        <w:rPr>
          <w:rFonts w:ascii="Times New Roman" w:hAnsi="Times New Roman" w:cs="Times New Roman"/>
          <w:sz w:val="20"/>
          <w:szCs w:val="20"/>
        </w:rPr>
        <w:t xml:space="preserve"> kojima se fina</w:t>
      </w:r>
      <w:r w:rsidR="00D90AE7" w:rsidRPr="0008108E">
        <w:rPr>
          <w:rFonts w:ascii="Times New Roman" w:hAnsi="Times New Roman" w:cs="Times New Roman"/>
          <w:sz w:val="20"/>
          <w:szCs w:val="20"/>
        </w:rPr>
        <w:t>n</w:t>
      </w:r>
      <w:r w:rsidRPr="0008108E">
        <w:rPr>
          <w:rFonts w:ascii="Times New Roman" w:hAnsi="Times New Roman" w:cs="Times New Roman"/>
          <w:sz w:val="20"/>
          <w:szCs w:val="20"/>
        </w:rPr>
        <w:t>ciraju plaće zaposlenih</w:t>
      </w:r>
      <w:r w:rsidR="00F90B70" w:rsidRPr="0008108E">
        <w:rPr>
          <w:rFonts w:ascii="Times New Roman" w:hAnsi="Times New Roman" w:cs="Times New Roman"/>
          <w:sz w:val="20"/>
          <w:szCs w:val="20"/>
        </w:rPr>
        <w:t>,</w:t>
      </w:r>
      <w:r w:rsidRPr="0008108E">
        <w:rPr>
          <w:rFonts w:ascii="Times New Roman" w:hAnsi="Times New Roman" w:cs="Times New Roman"/>
          <w:sz w:val="20"/>
          <w:szCs w:val="20"/>
        </w:rPr>
        <w:t xml:space="preserve"> naknada za rad upravnog vijeća</w:t>
      </w:r>
      <w:r w:rsidR="00F90B70" w:rsidRPr="0008108E">
        <w:rPr>
          <w:rFonts w:ascii="Times New Roman" w:hAnsi="Times New Roman" w:cs="Times New Roman"/>
          <w:sz w:val="20"/>
          <w:szCs w:val="20"/>
        </w:rPr>
        <w:t xml:space="preserve"> te ostali materijalni rashodi i nefinancijska imovina</w:t>
      </w:r>
      <w:r w:rsidRPr="0008108E">
        <w:rPr>
          <w:rFonts w:ascii="Times New Roman" w:hAnsi="Times New Roman" w:cs="Times New Roman"/>
          <w:sz w:val="20"/>
          <w:szCs w:val="20"/>
        </w:rPr>
        <w:t>.</w:t>
      </w:r>
    </w:p>
    <w:p w14:paraId="09344F4D" w14:textId="77777777" w:rsidR="00E1001B" w:rsidRPr="00511B73" w:rsidRDefault="00E1001B">
      <w:pPr>
        <w:rPr>
          <w:color w:val="FF0000"/>
        </w:rPr>
      </w:pPr>
    </w:p>
    <w:p w14:paraId="36D2F997" w14:textId="77777777" w:rsidR="00E1001B" w:rsidRPr="00BB3568" w:rsidRDefault="00E1001B" w:rsidP="00E1001B">
      <w:pPr>
        <w:spacing w:after="0" w:line="240" w:lineRule="auto"/>
        <w:jc w:val="both"/>
        <w:rPr>
          <w:rFonts w:ascii="Times New Roman" w:eastAsia="Calibri" w:hAnsi="Times New Roman" w:cs="Times New Roman"/>
          <w:sz w:val="20"/>
          <w:szCs w:val="20"/>
        </w:rPr>
      </w:pPr>
      <w:r w:rsidRPr="00BB3568">
        <w:rPr>
          <w:rFonts w:ascii="Times New Roman" w:eastAsia="Calibri" w:hAnsi="Times New Roman" w:cs="Times New Roman"/>
          <w:b/>
          <w:i/>
          <w:u w:val="single"/>
        </w:rPr>
        <w:t>RASHODI</w:t>
      </w:r>
    </w:p>
    <w:p w14:paraId="56BDEDAC" w14:textId="77777777" w:rsidR="00E1001B" w:rsidRPr="00BB3568" w:rsidRDefault="00E1001B" w:rsidP="00E1001B">
      <w:pPr>
        <w:spacing w:after="0" w:line="240" w:lineRule="auto"/>
        <w:ind w:firstLine="720"/>
        <w:jc w:val="both"/>
        <w:rPr>
          <w:rFonts w:ascii="Times New Roman" w:eastAsia="Calibri" w:hAnsi="Times New Roman" w:cs="Times New Roman"/>
          <w:sz w:val="20"/>
          <w:szCs w:val="20"/>
        </w:rPr>
      </w:pPr>
    </w:p>
    <w:p w14:paraId="4F53B4D4" w14:textId="07459FB6" w:rsidR="00E1001B" w:rsidRPr="00BB3568" w:rsidRDefault="00E1001B" w:rsidP="00E1001B">
      <w:pPr>
        <w:spacing w:after="0" w:line="240" w:lineRule="auto"/>
        <w:ind w:firstLine="720"/>
        <w:jc w:val="both"/>
        <w:rPr>
          <w:rFonts w:ascii="Times New Roman" w:eastAsia="Calibri" w:hAnsi="Times New Roman" w:cs="Times New Roman"/>
          <w:sz w:val="20"/>
          <w:szCs w:val="20"/>
        </w:rPr>
      </w:pPr>
      <w:r w:rsidRPr="00BB3568">
        <w:rPr>
          <w:rFonts w:ascii="Times New Roman" w:eastAsia="Calibri" w:hAnsi="Times New Roman" w:cs="Times New Roman"/>
          <w:sz w:val="20"/>
          <w:szCs w:val="20"/>
        </w:rPr>
        <w:t>Rashodi za 202</w:t>
      </w:r>
      <w:r w:rsidR="001006A4">
        <w:rPr>
          <w:rFonts w:ascii="Times New Roman" w:eastAsia="Calibri" w:hAnsi="Times New Roman" w:cs="Times New Roman"/>
          <w:sz w:val="20"/>
          <w:szCs w:val="20"/>
        </w:rPr>
        <w:t>4</w:t>
      </w:r>
      <w:r w:rsidRPr="00BB3568">
        <w:rPr>
          <w:rFonts w:ascii="Times New Roman" w:eastAsia="Calibri" w:hAnsi="Times New Roman" w:cs="Times New Roman"/>
          <w:sz w:val="20"/>
          <w:szCs w:val="20"/>
        </w:rPr>
        <w:t xml:space="preserve">. godinu </w:t>
      </w:r>
      <w:r w:rsidR="00BB3568" w:rsidRPr="00BB3568">
        <w:rPr>
          <w:rFonts w:ascii="Times New Roman" w:eastAsia="Calibri" w:hAnsi="Times New Roman" w:cs="Times New Roman"/>
          <w:sz w:val="20"/>
          <w:szCs w:val="20"/>
        </w:rPr>
        <w:t xml:space="preserve">planirani su u </w:t>
      </w:r>
      <w:r w:rsidRPr="00BB3568">
        <w:rPr>
          <w:rFonts w:ascii="Times New Roman" w:eastAsia="Calibri" w:hAnsi="Times New Roman" w:cs="Times New Roman"/>
          <w:sz w:val="20"/>
          <w:szCs w:val="20"/>
        </w:rPr>
        <w:t>iznos</w:t>
      </w:r>
      <w:r w:rsidR="00BB3568" w:rsidRPr="00BB3568">
        <w:rPr>
          <w:rFonts w:ascii="Times New Roman" w:eastAsia="Calibri" w:hAnsi="Times New Roman" w:cs="Times New Roman"/>
          <w:sz w:val="20"/>
          <w:szCs w:val="20"/>
        </w:rPr>
        <w:t>u od</w:t>
      </w:r>
      <w:r w:rsidRPr="00BB3568">
        <w:rPr>
          <w:rFonts w:ascii="Times New Roman" w:eastAsia="Calibri" w:hAnsi="Times New Roman" w:cs="Times New Roman"/>
          <w:sz w:val="20"/>
          <w:szCs w:val="20"/>
        </w:rPr>
        <w:t xml:space="preserve"> </w:t>
      </w:r>
      <w:r w:rsidR="001006A4">
        <w:rPr>
          <w:rFonts w:ascii="Times New Roman" w:eastAsia="Calibri" w:hAnsi="Times New Roman" w:cs="Times New Roman"/>
          <w:sz w:val="20"/>
          <w:szCs w:val="20"/>
        </w:rPr>
        <w:t>380.300</w:t>
      </w:r>
      <w:r w:rsidRPr="00BB3568">
        <w:rPr>
          <w:rFonts w:ascii="Times New Roman" w:eastAsia="Calibri" w:hAnsi="Times New Roman" w:cs="Times New Roman"/>
          <w:sz w:val="20"/>
          <w:szCs w:val="20"/>
        </w:rPr>
        <w:t xml:space="preserve"> </w:t>
      </w:r>
      <w:r w:rsidR="00631721" w:rsidRPr="00BB3568">
        <w:rPr>
          <w:rFonts w:ascii="Times New Roman" w:eastAsia="Calibri" w:hAnsi="Times New Roman" w:cs="Times New Roman"/>
          <w:sz w:val="20"/>
          <w:szCs w:val="20"/>
        </w:rPr>
        <w:t>eura</w:t>
      </w:r>
      <w:r w:rsidR="00BB3568" w:rsidRPr="00BB3568">
        <w:rPr>
          <w:rFonts w:ascii="Times New Roman" w:eastAsia="Calibri" w:hAnsi="Times New Roman" w:cs="Times New Roman"/>
          <w:sz w:val="20"/>
          <w:szCs w:val="20"/>
        </w:rPr>
        <w:t xml:space="preserve"> te se povećavaju za </w:t>
      </w:r>
      <w:r w:rsidR="001006A4">
        <w:rPr>
          <w:rFonts w:ascii="Times New Roman" w:eastAsia="Calibri" w:hAnsi="Times New Roman" w:cs="Times New Roman"/>
          <w:sz w:val="20"/>
          <w:szCs w:val="20"/>
        </w:rPr>
        <w:t>15.250</w:t>
      </w:r>
      <w:r w:rsidR="00BB3568" w:rsidRPr="00BB3568">
        <w:rPr>
          <w:rFonts w:ascii="Times New Roman" w:eastAsia="Calibri" w:hAnsi="Times New Roman" w:cs="Times New Roman"/>
          <w:sz w:val="20"/>
          <w:szCs w:val="20"/>
        </w:rPr>
        <w:t xml:space="preserve"> eura i novi plan je </w:t>
      </w:r>
      <w:r w:rsidR="001006A4">
        <w:rPr>
          <w:rFonts w:ascii="Times New Roman" w:eastAsia="Calibri" w:hAnsi="Times New Roman" w:cs="Times New Roman"/>
          <w:sz w:val="20"/>
          <w:szCs w:val="20"/>
        </w:rPr>
        <w:t>395.550</w:t>
      </w:r>
      <w:r w:rsidR="00BB3568" w:rsidRPr="00BB3568">
        <w:rPr>
          <w:rFonts w:ascii="Times New Roman" w:eastAsia="Calibri" w:hAnsi="Times New Roman" w:cs="Times New Roman"/>
          <w:sz w:val="20"/>
          <w:szCs w:val="20"/>
        </w:rPr>
        <w:t xml:space="preserve"> eura.</w:t>
      </w:r>
      <w:r w:rsidR="00BB3568">
        <w:rPr>
          <w:rFonts w:ascii="Times New Roman" w:eastAsia="Calibri" w:hAnsi="Times New Roman" w:cs="Times New Roman"/>
          <w:sz w:val="20"/>
          <w:szCs w:val="20"/>
        </w:rPr>
        <w:t xml:space="preserve"> </w:t>
      </w:r>
    </w:p>
    <w:p w14:paraId="79CF8499" w14:textId="77777777" w:rsidR="00631721" w:rsidRPr="00511B73" w:rsidRDefault="00631721" w:rsidP="00E1001B">
      <w:pPr>
        <w:spacing w:after="0" w:line="240" w:lineRule="auto"/>
        <w:ind w:firstLine="720"/>
        <w:jc w:val="both"/>
        <w:rPr>
          <w:rFonts w:ascii="Times New Roman" w:eastAsia="Calibri" w:hAnsi="Times New Roman" w:cs="Times New Roman"/>
          <w:bCs/>
          <w:color w:val="FF0000"/>
          <w:sz w:val="20"/>
          <w:szCs w:val="20"/>
          <w:lang w:eastAsia="hr-HR"/>
        </w:rPr>
      </w:pPr>
    </w:p>
    <w:p w14:paraId="291EE60F" w14:textId="77777777" w:rsidR="00E1001B" w:rsidRPr="00511B73" w:rsidRDefault="00E1001B">
      <w:pPr>
        <w:rPr>
          <w:color w:val="FF0000"/>
        </w:rPr>
      </w:pPr>
      <w:r w:rsidRPr="00511B73">
        <w:rPr>
          <w:color w:val="FF0000"/>
        </w:rPr>
        <w:br w:type="page"/>
      </w:r>
    </w:p>
    <w:p w14:paraId="216C8652" w14:textId="77777777" w:rsidR="00E1001B" w:rsidRPr="00511B73" w:rsidRDefault="00E1001B">
      <w:pPr>
        <w:rPr>
          <w:color w:val="FF0000"/>
        </w:rPr>
      </w:pPr>
    </w:p>
    <w:p w14:paraId="5B69CC75" w14:textId="0AAA702B" w:rsidR="00D149F9" w:rsidRPr="008B3230" w:rsidRDefault="008B3230" w:rsidP="00D149F9">
      <w:pPr>
        <w:spacing w:after="0" w:line="240" w:lineRule="auto"/>
        <w:ind w:firstLine="708"/>
        <w:jc w:val="both"/>
        <w:rPr>
          <w:rFonts w:ascii="Times New Roman" w:eastAsia="Calibri" w:hAnsi="Times New Roman" w:cs="Times New Roman"/>
          <w:sz w:val="20"/>
          <w:szCs w:val="20"/>
          <w:lang w:val="pl-PL"/>
        </w:rPr>
      </w:pPr>
      <w:r w:rsidRPr="008B3230">
        <w:rPr>
          <w:rFonts w:ascii="Times New Roman" w:eastAsia="Calibri" w:hAnsi="Times New Roman" w:cs="Times New Roman"/>
          <w:sz w:val="20"/>
          <w:szCs w:val="20"/>
        </w:rPr>
        <w:t>Povećanje/smanjenje</w:t>
      </w:r>
      <w:r w:rsidR="00D149F9" w:rsidRPr="008B3230">
        <w:rPr>
          <w:rFonts w:ascii="Times New Roman" w:eastAsia="Calibri" w:hAnsi="Times New Roman" w:cs="Times New Roman"/>
          <w:sz w:val="20"/>
          <w:szCs w:val="20"/>
        </w:rPr>
        <w:t xml:space="preserve"> rashod</w:t>
      </w:r>
      <w:r w:rsidRPr="008B3230">
        <w:rPr>
          <w:rFonts w:ascii="Times New Roman" w:eastAsia="Calibri" w:hAnsi="Times New Roman" w:cs="Times New Roman"/>
          <w:sz w:val="20"/>
          <w:szCs w:val="20"/>
        </w:rPr>
        <w:t>a</w:t>
      </w:r>
      <w:r w:rsidR="00D149F9" w:rsidRPr="008B3230">
        <w:rPr>
          <w:rFonts w:ascii="Times New Roman" w:eastAsia="Calibri" w:hAnsi="Times New Roman" w:cs="Times New Roman"/>
          <w:sz w:val="20"/>
          <w:szCs w:val="20"/>
        </w:rPr>
        <w:t xml:space="preserve"> za 202</w:t>
      </w:r>
      <w:r w:rsidR="001006A4">
        <w:rPr>
          <w:rFonts w:ascii="Times New Roman" w:eastAsia="Calibri" w:hAnsi="Times New Roman" w:cs="Times New Roman"/>
          <w:sz w:val="20"/>
          <w:szCs w:val="20"/>
        </w:rPr>
        <w:t>4</w:t>
      </w:r>
      <w:r w:rsidR="00D149F9" w:rsidRPr="008B3230">
        <w:rPr>
          <w:rFonts w:ascii="Times New Roman" w:eastAsia="Calibri" w:hAnsi="Times New Roman" w:cs="Times New Roman"/>
          <w:sz w:val="20"/>
          <w:szCs w:val="20"/>
        </w:rPr>
        <w:t xml:space="preserve">. godinu </w:t>
      </w:r>
      <w:r w:rsidR="00D149F9" w:rsidRPr="008B3230">
        <w:rPr>
          <w:rFonts w:ascii="Times New Roman" w:eastAsia="Calibri" w:hAnsi="Times New Roman" w:cs="Times New Roman"/>
          <w:sz w:val="20"/>
          <w:szCs w:val="20"/>
          <w:lang w:val="pl-PL"/>
        </w:rPr>
        <w:t>po osnovnim skupinama računa:</w:t>
      </w:r>
    </w:p>
    <w:p w14:paraId="39C51E64" w14:textId="5A2BB20D" w:rsidR="00D94E08" w:rsidRDefault="00D94E08" w:rsidP="00D149F9">
      <w:pPr>
        <w:spacing w:after="0" w:line="240" w:lineRule="auto"/>
        <w:ind w:firstLine="708"/>
        <w:jc w:val="both"/>
        <w:rPr>
          <w:rFonts w:ascii="Times New Roman" w:eastAsia="Calibri" w:hAnsi="Times New Roman" w:cs="Times New Roman"/>
          <w:color w:val="FF0000"/>
          <w:sz w:val="20"/>
          <w:szCs w:val="20"/>
        </w:rPr>
      </w:pPr>
    </w:p>
    <w:p w14:paraId="595A80C0" w14:textId="000A3266" w:rsidR="00D94E08" w:rsidRDefault="00D94E08" w:rsidP="00D149F9">
      <w:pPr>
        <w:spacing w:after="0" w:line="240" w:lineRule="auto"/>
        <w:ind w:firstLine="708"/>
        <w:jc w:val="both"/>
        <w:rPr>
          <w:rFonts w:ascii="Times New Roman" w:eastAsia="Calibri" w:hAnsi="Times New Roman" w:cs="Times New Roman"/>
          <w:color w:val="FF0000"/>
          <w:sz w:val="20"/>
          <w:szCs w:val="20"/>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1701"/>
        <w:gridCol w:w="1559"/>
        <w:gridCol w:w="1417"/>
      </w:tblGrid>
      <w:tr w:rsidR="009D0090" w:rsidRPr="00511B73" w14:paraId="1A53B7DA" w14:textId="77777777" w:rsidTr="009D0090">
        <w:trPr>
          <w:cantSplit/>
        </w:trPr>
        <w:tc>
          <w:tcPr>
            <w:tcW w:w="4537" w:type="dxa"/>
            <w:shd w:val="clear" w:color="auto" w:fill="C0C0C0"/>
            <w:vAlign w:val="center"/>
          </w:tcPr>
          <w:p w14:paraId="7561D9C8" w14:textId="4B43C761" w:rsidR="009D0090" w:rsidRPr="00130EC2" w:rsidRDefault="009D0090" w:rsidP="00105DA0">
            <w:pPr>
              <w:spacing w:after="0" w:line="240" w:lineRule="auto"/>
              <w:jc w:val="center"/>
              <w:rPr>
                <w:rFonts w:ascii="Times New Roman" w:eastAsia="Calibri" w:hAnsi="Times New Roman" w:cs="Times New Roman"/>
                <w:b/>
                <w:bCs/>
                <w:sz w:val="20"/>
                <w:szCs w:val="20"/>
                <w:lang w:eastAsia="hr-HR"/>
              </w:rPr>
            </w:pPr>
            <w:r w:rsidRPr="00D94E08">
              <w:rPr>
                <w:rFonts w:ascii="Times New Roman" w:eastAsia="Calibri" w:hAnsi="Times New Roman" w:cs="Times New Roman"/>
                <w:b/>
                <w:bCs/>
                <w:sz w:val="20"/>
                <w:szCs w:val="20"/>
                <w:lang w:eastAsia="hr-HR"/>
              </w:rPr>
              <w:t>Rashodi</w:t>
            </w:r>
          </w:p>
        </w:tc>
        <w:tc>
          <w:tcPr>
            <w:tcW w:w="1701" w:type="dxa"/>
            <w:shd w:val="clear" w:color="auto" w:fill="C0C0C0"/>
            <w:vAlign w:val="center"/>
          </w:tcPr>
          <w:p w14:paraId="45ECB1FC" w14:textId="0C051D44" w:rsidR="009D0090" w:rsidRPr="00130EC2" w:rsidRDefault="009D0090" w:rsidP="00105DA0">
            <w:pPr>
              <w:spacing w:after="0" w:line="240" w:lineRule="auto"/>
              <w:jc w:val="center"/>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Plan za 202</w:t>
            </w:r>
            <w:r w:rsidR="001006A4">
              <w:rPr>
                <w:rFonts w:ascii="Times New Roman" w:eastAsia="Calibri" w:hAnsi="Times New Roman" w:cs="Times New Roman"/>
                <w:b/>
                <w:bCs/>
                <w:sz w:val="20"/>
                <w:szCs w:val="20"/>
                <w:lang w:eastAsia="hr-HR"/>
              </w:rPr>
              <w:t>4</w:t>
            </w:r>
            <w:r w:rsidRPr="00130EC2">
              <w:rPr>
                <w:rFonts w:ascii="Times New Roman" w:eastAsia="Calibri" w:hAnsi="Times New Roman" w:cs="Times New Roman"/>
                <w:b/>
                <w:bCs/>
                <w:sz w:val="20"/>
                <w:szCs w:val="20"/>
                <w:lang w:eastAsia="hr-HR"/>
              </w:rPr>
              <w:t>.</w:t>
            </w:r>
          </w:p>
        </w:tc>
        <w:tc>
          <w:tcPr>
            <w:tcW w:w="1559" w:type="dxa"/>
            <w:shd w:val="clear" w:color="auto" w:fill="C0C0C0"/>
          </w:tcPr>
          <w:p w14:paraId="2474F2C8" w14:textId="77777777" w:rsidR="009D0090" w:rsidRPr="00130EC2" w:rsidRDefault="009D0090" w:rsidP="00105DA0">
            <w:pPr>
              <w:spacing w:after="0" w:line="240" w:lineRule="auto"/>
              <w:jc w:val="center"/>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Povećanje/</w:t>
            </w:r>
          </w:p>
          <w:p w14:paraId="35929B27" w14:textId="77777777" w:rsidR="009D0090" w:rsidRPr="00130EC2" w:rsidRDefault="009D0090" w:rsidP="00105DA0">
            <w:pPr>
              <w:spacing w:after="0" w:line="240" w:lineRule="auto"/>
              <w:jc w:val="center"/>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smanjenje</w:t>
            </w:r>
          </w:p>
        </w:tc>
        <w:tc>
          <w:tcPr>
            <w:tcW w:w="1417" w:type="dxa"/>
            <w:shd w:val="clear" w:color="auto" w:fill="C0C0C0"/>
          </w:tcPr>
          <w:p w14:paraId="5456FF5C" w14:textId="34D10B0B" w:rsidR="009D0090" w:rsidRPr="00130EC2" w:rsidRDefault="009D0090" w:rsidP="00105DA0">
            <w:pPr>
              <w:spacing w:after="0" w:line="240" w:lineRule="auto"/>
              <w:jc w:val="center"/>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Novi plan za 202</w:t>
            </w:r>
            <w:r w:rsidR="001006A4">
              <w:rPr>
                <w:rFonts w:ascii="Times New Roman" w:eastAsia="Calibri" w:hAnsi="Times New Roman" w:cs="Times New Roman"/>
                <w:b/>
                <w:bCs/>
                <w:sz w:val="20"/>
                <w:szCs w:val="20"/>
                <w:lang w:eastAsia="hr-HR"/>
              </w:rPr>
              <w:t>4</w:t>
            </w:r>
            <w:r w:rsidRPr="00130EC2">
              <w:rPr>
                <w:rFonts w:ascii="Times New Roman" w:eastAsia="Calibri" w:hAnsi="Times New Roman" w:cs="Times New Roman"/>
                <w:b/>
                <w:bCs/>
                <w:sz w:val="20"/>
                <w:szCs w:val="20"/>
                <w:lang w:eastAsia="hr-HR"/>
              </w:rPr>
              <w:t>.</w:t>
            </w:r>
          </w:p>
        </w:tc>
      </w:tr>
      <w:tr w:rsidR="009D0090" w:rsidRPr="00511B73" w14:paraId="3310D465" w14:textId="77777777" w:rsidTr="009D0090">
        <w:trPr>
          <w:cantSplit/>
          <w:trHeight w:val="234"/>
        </w:trPr>
        <w:tc>
          <w:tcPr>
            <w:tcW w:w="4537" w:type="dxa"/>
          </w:tcPr>
          <w:p w14:paraId="18C0EC2E" w14:textId="1B89BC3A" w:rsidR="009D0090" w:rsidRPr="00130EC2" w:rsidRDefault="009D0090" w:rsidP="00105DA0">
            <w:pPr>
              <w:spacing w:after="0" w:line="240" w:lineRule="auto"/>
              <w:rPr>
                <w:rFonts w:ascii="Times New Roman" w:eastAsia="Calibri" w:hAnsi="Times New Roman" w:cs="Times New Roman"/>
                <w:b/>
                <w:bCs/>
                <w:sz w:val="20"/>
                <w:szCs w:val="20"/>
                <w:lang w:eastAsia="hr-HR"/>
              </w:rPr>
            </w:pPr>
            <w:r w:rsidRPr="00D94E08">
              <w:rPr>
                <w:rFonts w:ascii="Times New Roman" w:eastAsia="Calibri" w:hAnsi="Times New Roman" w:cs="Times New Roman"/>
                <w:b/>
                <w:bCs/>
                <w:sz w:val="20"/>
                <w:szCs w:val="20"/>
                <w:lang w:eastAsia="hr-HR"/>
              </w:rPr>
              <w:t>Rashodi poslovanja</w:t>
            </w:r>
          </w:p>
        </w:tc>
        <w:tc>
          <w:tcPr>
            <w:tcW w:w="1701" w:type="dxa"/>
            <w:vAlign w:val="bottom"/>
          </w:tcPr>
          <w:p w14:paraId="3C316D37" w14:textId="0E029B99" w:rsidR="009D0090" w:rsidRPr="00775C9F" w:rsidRDefault="001006A4" w:rsidP="00105DA0">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365.800</w:t>
            </w:r>
          </w:p>
        </w:tc>
        <w:tc>
          <w:tcPr>
            <w:tcW w:w="1559" w:type="dxa"/>
          </w:tcPr>
          <w:p w14:paraId="4F379BEA" w14:textId="77777777" w:rsidR="009D0090" w:rsidRPr="00775C9F" w:rsidRDefault="009D0090" w:rsidP="00105DA0">
            <w:pPr>
              <w:spacing w:after="0" w:line="240" w:lineRule="auto"/>
              <w:jc w:val="right"/>
              <w:rPr>
                <w:rFonts w:ascii="Times New Roman" w:eastAsia="Calibri" w:hAnsi="Times New Roman" w:cs="Times New Roman"/>
                <w:b/>
                <w:bCs/>
                <w:sz w:val="20"/>
                <w:szCs w:val="20"/>
                <w:lang w:eastAsia="hr-HR"/>
              </w:rPr>
            </w:pPr>
          </w:p>
          <w:p w14:paraId="23653E0B" w14:textId="2CF816F2" w:rsidR="009D0090" w:rsidRPr="00775C9F" w:rsidRDefault="001006A4" w:rsidP="00105DA0">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15</w:t>
            </w:r>
            <w:r w:rsidR="009D0090" w:rsidRPr="00775C9F">
              <w:rPr>
                <w:rFonts w:ascii="Times New Roman" w:eastAsia="Calibri" w:hAnsi="Times New Roman" w:cs="Times New Roman"/>
                <w:b/>
                <w:bCs/>
                <w:sz w:val="20"/>
                <w:szCs w:val="20"/>
                <w:lang w:eastAsia="hr-HR"/>
              </w:rPr>
              <w:t>.</w:t>
            </w:r>
            <w:r>
              <w:rPr>
                <w:rFonts w:ascii="Times New Roman" w:eastAsia="Calibri" w:hAnsi="Times New Roman" w:cs="Times New Roman"/>
                <w:b/>
                <w:bCs/>
                <w:sz w:val="20"/>
                <w:szCs w:val="20"/>
                <w:lang w:eastAsia="hr-HR"/>
              </w:rPr>
              <w:t>250</w:t>
            </w:r>
          </w:p>
        </w:tc>
        <w:tc>
          <w:tcPr>
            <w:tcW w:w="1417" w:type="dxa"/>
          </w:tcPr>
          <w:p w14:paraId="7E0A0442" w14:textId="77777777" w:rsidR="009D0090" w:rsidRPr="00775C9F" w:rsidRDefault="009D0090" w:rsidP="00105DA0">
            <w:pPr>
              <w:spacing w:after="0" w:line="240" w:lineRule="auto"/>
              <w:jc w:val="right"/>
              <w:rPr>
                <w:rFonts w:ascii="Times New Roman" w:eastAsia="Calibri" w:hAnsi="Times New Roman" w:cs="Times New Roman"/>
                <w:b/>
                <w:bCs/>
                <w:sz w:val="20"/>
                <w:szCs w:val="20"/>
                <w:lang w:eastAsia="hr-HR"/>
              </w:rPr>
            </w:pPr>
          </w:p>
          <w:p w14:paraId="61525721" w14:textId="45422FA4" w:rsidR="009D0090" w:rsidRPr="00775C9F" w:rsidRDefault="001006A4" w:rsidP="00105DA0">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381.050</w:t>
            </w:r>
          </w:p>
        </w:tc>
      </w:tr>
      <w:tr w:rsidR="009D0090" w:rsidRPr="00511B73" w14:paraId="2075D9CE" w14:textId="77777777" w:rsidTr="009D0090">
        <w:trPr>
          <w:cantSplit/>
        </w:trPr>
        <w:tc>
          <w:tcPr>
            <w:tcW w:w="4537" w:type="dxa"/>
          </w:tcPr>
          <w:p w14:paraId="3F62E5CF" w14:textId="689FF444" w:rsidR="009D0090" w:rsidRPr="00D94E08" w:rsidRDefault="009D0090" w:rsidP="00105DA0">
            <w:pPr>
              <w:spacing w:after="0" w:line="240" w:lineRule="auto"/>
              <w:rPr>
                <w:rFonts w:ascii="Times New Roman" w:eastAsia="Calibri" w:hAnsi="Times New Roman" w:cs="Times New Roman"/>
                <w:bCs/>
                <w:sz w:val="20"/>
                <w:szCs w:val="20"/>
                <w:lang w:eastAsia="hr-HR"/>
              </w:rPr>
            </w:pPr>
            <w:r w:rsidRPr="00D94E08">
              <w:rPr>
                <w:rFonts w:ascii="Times New Roman" w:eastAsia="Calibri" w:hAnsi="Times New Roman" w:cs="Times New Roman"/>
                <w:bCs/>
                <w:sz w:val="20"/>
                <w:szCs w:val="20"/>
                <w:lang w:eastAsia="hr-HR"/>
              </w:rPr>
              <w:t>Rashodi za zaposlene</w:t>
            </w:r>
          </w:p>
        </w:tc>
        <w:tc>
          <w:tcPr>
            <w:tcW w:w="1701" w:type="dxa"/>
            <w:vAlign w:val="bottom"/>
          </w:tcPr>
          <w:p w14:paraId="50170134" w14:textId="0F399D45" w:rsidR="009D0090" w:rsidRPr="00775C9F" w:rsidRDefault="001006A4" w:rsidP="00105DA0">
            <w:pPr>
              <w:spacing w:after="0" w:line="240" w:lineRule="auto"/>
              <w:jc w:val="right"/>
              <w:rPr>
                <w:rFonts w:ascii="Times New Roman" w:eastAsia="Calibri" w:hAnsi="Times New Roman" w:cs="Times New Roman"/>
                <w:bCs/>
                <w:sz w:val="20"/>
                <w:szCs w:val="20"/>
                <w:lang w:eastAsia="hr-HR"/>
              </w:rPr>
            </w:pPr>
            <w:r>
              <w:rPr>
                <w:rFonts w:ascii="Times New Roman" w:eastAsia="Calibri" w:hAnsi="Times New Roman" w:cs="Times New Roman"/>
                <w:bCs/>
                <w:sz w:val="20"/>
                <w:szCs w:val="20"/>
                <w:lang w:eastAsia="hr-HR"/>
              </w:rPr>
              <w:t>198.200</w:t>
            </w:r>
          </w:p>
        </w:tc>
        <w:tc>
          <w:tcPr>
            <w:tcW w:w="1559" w:type="dxa"/>
          </w:tcPr>
          <w:p w14:paraId="1D95FAEA" w14:textId="7AA80768" w:rsidR="009D0090" w:rsidRPr="00775C9F" w:rsidRDefault="001006A4" w:rsidP="00105DA0">
            <w:pPr>
              <w:spacing w:after="0" w:line="240" w:lineRule="auto"/>
              <w:jc w:val="right"/>
              <w:rPr>
                <w:rFonts w:ascii="Times New Roman" w:eastAsia="Calibri" w:hAnsi="Times New Roman" w:cs="Times New Roman"/>
                <w:bCs/>
                <w:sz w:val="20"/>
                <w:szCs w:val="20"/>
                <w:lang w:eastAsia="hr-HR"/>
              </w:rPr>
            </w:pPr>
            <w:r>
              <w:rPr>
                <w:rFonts w:ascii="Times New Roman" w:eastAsia="Calibri" w:hAnsi="Times New Roman" w:cs="Times New Roman"/>
                <w:bCs/>
                <w:sz w:val="20"/>
                <w:szCs w:val="20"/>
                <w:lang w:eastAsia="hr-HR"/>
              </w:rPr>
              <w:t>-650</w:t>
            </w:r>
          </w:p>
        </w:tc>
        <w:tc>
          <w:tcPr>
            <w:tcW w:w="1417" w:type="dxa"/>
          </w:tcPr>
          <w:p w14:paraId="1DC7A060" w14:textId="63674832" w:rsidR="009D0090" w:rsidRPr="00775C9F" w:rsidRDefault="001006A4" w:rsidP="00105DA0">
            <w:pPr>
              <w:spacing w:after="0" w:line="240" w:lineRule="auto"/>
              <w:jc w:val="right"/>
              <w:rPr>
                <w:rFonts w:ascii="Times New Roman" w:eastAsia="Calibri" w:hAnsi="Times New Roman" w:cs="Times New Roman"/>
                <w:bCs/>
                <w:sz w:val="20"/>
                <w:szCs w:val="20"/>
                <w:lang w:eastAsia="hr-HR"/>
              </w:rPr>
            </w:pPr>
            <w:r>
              <w:rPr>
                <w:rFonts w:ascii="Times New Roman" w:eastAsia="Calibri" w:hAnsi="Times New Roman" w:cs="Times New Roman"/>
                <w:bCs/>
                <w:sz w:val="20"/>
                <w:szCs w:val="20"/>
                <w:lang w:eastAsia="hr-HR"/>
              </w:rPr>
              <w:t>197.550</w:t>
            </w:r>
          </w:p>
        </w:tc>
      </w:tr>
      <w:tr w:rsidR="009D0090" w:rsidRPr="00511B73" w14:paraId="36B805F1" w14:textId="77777777" w:rsidTr="009D0090">
        <w:trPr>
          <w:cantSplit/>
        </w:trPr>
        <w:tc>
          <w:tcPr>
            <w:tcW w:w="4537" w:type="dxa"/>
          </w:tcPr>
          <w:p w14:paraId="54C4109A" w14:textId="4E8EEE30" w:rsidR="009D0090" w:rsidRPr="00D94E08" w:rsidRDefault="009D0090" w:rsidP="00105DA0">
            <w:pPr>
              <w:spacing w:after="0" w:line="240" w:lineRule="auto"/>
              <w:rPr>
                <w:rFonts w:ascii="Times New Roman" w:eastAsia="Calibri" w:hAnsi="Times New Roman" w:cs="Times New Roman"/>
                <w:bCs/>
                <w:sz w:val="20"/>
                <w:szCs w:val="20"/>
                <w:lang w:eastAsia="hr-HR"/>
              </w:rPr>
            </w:pPr>
            <w:r w:rsidRPr="00D94E08">
              <w:rPr>
                <w:rFonts w:ascii="Times New Roman" w:eastAsia="Calibri" w:hAnsi="Times New Roman" w:cs="Times New Roman"/>
                <w:bCs/>
                <w:sz w:val="20"/>
                <w:szCs w:val="20"/>
                <w:lang w:eastAsia="hr-HR"/>
              </w:rPr>
              <w:t>Materijalni rashodi</w:t>
            </w:r>
          </w:p>
        </w:tc>
        <w:tc>
          <w:tcPr>
            <w:tcW w:w="1701" w:type="dxa"/>
            <w:vAlign w:val="bottom"/>
          </w:tcPr>
          <w:p w14:paraId="00BDC415" w14:textId="6B2CD732" w:rsidR="009D0090" w:rsidRPr="00775C9F" w:rsidRDefault="001006A4" w:rsidP="00105DA0">
            <w:pPr>
              <w:spacing w:after="0" w:line="240" w:lineRule="auto"/>
              <w:jc w:val="right"/>
              <w:rPr>
                <w:rFonts w:ascii="Times New Roman" w:eastAsia="Calibri" w:hAnsi="Times New Roman" w:cs="Times New Roman"/>
                <w:bCs/>
                <w:sz w:val="20"/>
                <w:szCs w:val="20"/>
                <w:lang w:eastAsia="hr-HR"/>
              </w:rPr>
            </w:pPr>
            <w:r>
              <w:rPr>
                <w:rFonts w:ascii="Times New Roman" w:eastAsia="Calibri" w:hAnsi="Times New Roman" w:cs="Times New Roman"/>
                <w:bCs/>
                <w:sz w:val="20"/>
                <w:szCs w:val="20"/>
                <w:lang w:eastAsia="hr-HR"/>
              </w:rPr>
              <w:t>167.600</w:t>
            </w:r>
          </w:p>
        </w:tc>
        <w:tc>
          <w:tcPr>
            <w:tcW w:w="1559" w:type="dxa"/>
          </w:tcPr>
          <w:p w14:paraId="0B180ED5" w14:textId="6E602AA1" w:rsidR="009D0090" w:rsidRPr="00775C9F" w:rsidRDefault="001006A4" w:rsidP="00105DA0">
            <w:pPr>
              <w:spacing w:after="0" w:line="240" w:lineRule="auto"/>
              <w:jc w:val="right"/>
              <w:rPr>
                <w:rFonts w:ascii="Times New Roman" w:eastAsia="Calibri" w:hAnsi="Times New Roman" w:cs="Times New Roman"/>
                <w:bCs/>
                <w:sz w:val="20"/>
                <w:szCs w:val="20"/>
                <w:lang w:eastAsia="hr-HR"/>
              </w:rPr>
            </w:pPr>
            <w:r>
              <w:rPr>
                <w:rFonts w:ascii="Times New Roman" w:eastAsia="Calibri" w:hAnsi="Times New Roman" w:cs="Times New Roman"/>
                <w:bCs/>
                <w:sz w:val="20"/>
                <w:szCs w:val="20"/>
                <w:lang w:eastAsia="hr-HR"/>
              </w:rPr>
              <w:t>15.900</w:t>
            </w:r>
          </w:p>
        </w:tc>
        <w:tc>
          <w:tcPr>
            <w:tcW w:w="1417" w:type="dxa"/>
          </w:tcPr>
          <w:p w14:paraId="34FDB382" w14:textId="715923CE" w:rsidR="009D0090" w:rsidRPr="00775C9F" w:rsidRDefault="001006A4" w:rsidP="00105DA0">
            <w:pPr>
              <w:spacing w:after="0" w:line="240" w:lineRule="auto"/>
              <w:jc w:val="right"/>
              <w:rPr>
                <w:rFonts w:ascii="Times New Roman" w:eastAsia="Calibri" w:hAnsi="Times New Roman" w:cs="Times New Roman"/>
                <w:bCs/>
                <w:sz w:val="20"/>
                <w:szCs w:val="20"/>
                <w:lang w:eastAsia="hr-HR"/>
              </w:rPr>
            </w:pPr>
            <w:r>
              <w:rPr>
                <w:rFonts w:ascii="Times New Roman" w:eastAsia="Calibri" w:hAnsi="Times New Roman" w:cs="Times New Roman"/>
                <w:bCs/>
                <w:sz w:val="20"/>
                <w:szCs w:val="20"/>
                <w:lang w:eastAsia="hr-HR"/>
              </w:rPr>
              <w:t>183.500</w:t>
            </w:r>
          </w:p>
        </w:tc>
      </w:tr>
      <w:tr w:rsidR="009D0090" w:rsidRPr="00511B73" w14:paraId="43D90B01" w14:textId="77777777" w:rsidTr="009D0090">
        <w:trPr>
          <w:cantSplit/>
        </w:trPr>
        <w:tc>
          <w:tcPr>
            <w:tcW w:w="4537" w:type="dxa"/>
          </w:tcPr>
          <w:p w14:paraId="7E05DE60" w14:textId="42B71080" w:rsidR="009D0090" w:rsidRPr="00D94E08" w:rsidRDefault="009D0090" w:rsidP="00105DA0">
            <w:pPr>
              <w:spacing w:after="0" w:line="240" w:lineRule="auto"/>
              <w:rPr>
                <w:rFonts w:ascii="Times New Roman" w:eastAsia="Calibri" w:hAnsi="Times New Roman" w:cs="Times New Roman"/>
                <w:b/>
                <w:bCs/>
                <w:sz w:val="20"/>
                <w:szCs w:val="20"/>
                <w:lang w:eastAsia="hr-HR"/>
              </w:rPr>
            </w:pPr>
            <w:r w:rsidRPr="00D94E08">
              <w:rPr>
                <w:rFonts w:ascii="Times New Roman" w:eastAsia="Calibri" w:hAnsi="Times New Roman" w:cs="Times New Roman"/>
                <w:b/>
                <w:bCs/>
                <w:sz w:val="20"/>
                <w:szCs w:val="20"/>
                <w:lang w:eastAsia="hr-HR"/>
              </w:rPr>
              <w:t>Rashodi za nabavu nefinancijske imovine</w:t>
            </w:r>
          </w:p>
        </w:tc>
        <w:tc>
          <w:tcPr>
            <w:tcW w:w="1701" w:type="dxa"/>
            <w:vAlign w:val="bottom"/>
          </w:tcPr>
          <w:p w14:paraId="4230FA04" w14:textId="5B0F7B8C" w:rsidR="009D0090" w:rsidRPr="00130EC2" w:rsidRDefault="001006A4" w:rsidP="00105DA0">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14.500</w:t>
            </w:r>
          </w:p>
        </w:tc>
        <w:tc>
          <w:tcPr>
            <w:tcW w:w="1559" w:type="dxa"/>
          </w:tcPr>
          <w:p w14:paraId="6BF45014" w14:textId="5863BC55" w:rsidR="009D0090" w:rsidRPr="00130EC2" w:rsidRDefault="009D0090" w:rsidP="00105DA0">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0</w:t>
            </w:r>
          </w:p>
        </w:tc>
        <w:tc>
          <w:tcPr>
            <w:tcW w:w="1417" w:type="dxa"/>
          </w:tcPr>
          <w:p w14:paraId="16B10D4C" w14:textId="07D0EE07" w:rsidR="009D0090" w:rsidRPr="00130EC2" w:rsidRDefault="001006A4" w:rsidP="00105DA0">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14.500</w:t>
            </w:r>
          </w:p>
        </w:tc>
      </w:tr>
      <w:tr w:rsidR="009D0090" w:rsidRPr="00511B73" w14:paraId="1BD58ED1" w14:textId="77777777" w:rsidTr="009D0090">
        <w:trPr>
          <w:cantSplit/>
        </w:trPr>
        <w:tc>
          <w:tcPr>
            <w:tcW w:w="4537" w:type="dxa"/>
          </w:tcPr>
          <w:p w14:paraId="5B6C55F1" w14:textId="6AF1A55A" w:rsidR="009D0090" w:rsidRPr="00D94E08" w:rsidRDefault="009D0090" w:rsidP="00105DA0">
            <w:pPr>
              <w:spacing w:after="0" w:line="240" w:lineRule="auto"/>
              <w:rPr>
                <w:rFonts w:ascii="Times New Roman" w:eastAsia="Calibri" w:hAnsi="Times New Roman" w:cs="Times New Roman"/>
                <w:bCs/>
                <w:sz w:val="20"/>
                <w:szCs w:val="20"/>
                <w:lang w:eastAsia="hr-HR"/>
              </w:rPr>
            </w:pPr>
            <w:r w:rsidRPr="00D94E08">
              <w:rPr>
                <w:rFonts w:ascii="Times New Roman" w:eastAsia="Calibri" w:hAnsi="Times New Roman" w:cs="Times New Roman"/>
                <w:bCs/>
                <w:sz w:val="20"/>
                <w:szCs w:val="20"/>
                <w:lang w:eastAsia="hr-HR"/>
              </w:rPr>
              <w:t>Rashodi za nabavu neproizvedene dugotrajne imovine</w:t>
            </w:r>
          </w:p>
        </w:tc>
        <w:tc>
          <w:tcPr>
            <w:tcW w:w="1701" w:type="dxa"/>
            <w:vAlign w:val="bottom"/>
          </w:tcPr>
          <w:p w14:paraId="6629ECFE" w14:textId="7E07080F" w:rsidR="009D0090" w:rsidRPr="00775C9F" w:rsidRDefault="001006A4" w:rsidP="00105DA0">
            <w:pPr>
              <w:spacing w:after="0" w:line="240" w:lineRule="auto"/>
              <w:jc w:val="right"/>
              <w:rPr>
                <w:rFonts w:ascii="Times New Roman" w:eastAsia="Calibri" w:hAnsi="Times New Roman" w:cs="Times New Roman"/>
                <w:bCs/>
                <w:sz w:val="20"/>
                <w:szCs w:val="20"/>
                <w:lang w:eastAsia="hr-HR"/>
              </w:rPr>
            </w:pPr>
            <w:r>
              <w:rPr>
                <w:rFonts w:ascii="Times New Roman" w:eastAsia="Calibri" w:hAnsi="Times New Roman" w:cs="Times New Roman"/>
                <w:bCs/>
                <w:sz w:val="20"/>
                <w:szCs w:val="20"/>
                <w:lang w:eastAsia="hr-HR"/>
              </w:rPr>
              <w:t>2.900</w:t>
            </w:r>
          </w:p>
        </w:tc>
        <w:tc>
          <w:tcPr>
            <w:tcW w:w="1559" w:type="dxa"/>
          </w:tcPr>
          <w:p w14:paraId="7BCB3039" w14:textId="77777777" w:rsidR="009D0090" w:rsidRPr="00775C9F" w:rsidRDefault="009D0090" w:rsidP="00105DA0">
            <w:pPr>
              <w:spacing w:after="0" w:line="240" w:lineRule="auto"/>
              <w:jc w:val="right"/>
              <w:rPr>
                <w:rFonts w:ascii="Times New Roman" w:eastAsia="Calibri" w:hAnsi="Times New Roman" w:cs="Times New Roman"/>
                <w:bCs/>
                <w:sz w:val="20"/>
                <w:szCs w:val="20"/>
                <w:lang w:eastAsia="hr-HR"/>
              </w:rPr>
            </w:pPr>
          </w:p>
          <w:p w14:paraId="7175C26F" w14:textId="3D05FA89" w:rsidR="009D0090" w:rsidRPr="00775C9F" w:rsidRDefault="009D0090" w:rsidP="00105DA0">
            <w:pPr>
              <w:spacing w:after="0" w:line="240" w:lineRule="auto"/>
              <w:jc w:val="right"/>
              <w:rPr>
                <w:rFonts w:ascii="Times New Roman" w:eastAsia="Calibri" w:hAnsi="Times New Roman" w:cs="Times New Roman"/>
                <w:bCs/>
                <w:sz w:val="20"/>
                <w:szCs w:val="20"/>
                <w:lang w:eastAsia="hr-HR"/>
              </w:rPr>
            </w:pPr>
            <w:r w:rsidRPr="00775C9F">
              <w:rPr>
                <w:rFonts w:ascii="Times New Roman" w:eastAsia="Calibri" w:hAnsi="Times New Roman" w:cs="Times New Roman"/>
                <w:bCs/>
                <w:sz w:val="20"/>
                <w:szCs w:val="20"/>
                <w:lang w:eastAsia="hr-HR"/>
              </w:rPr>
              <w:t>0</w:t>
            </w:r>
          </w:p>
        </w:tc>
        <w:tc>
          <w:tcPr>
            <w:tcW w:w="1417" w:type="dxa"/>
          </w:tcPr>
          <w:p w14:paraId="4DB10752" w14:textId="58B5D6A2" w:rsidR="009D0090" w:rsidRPr="00775C9F" w:rsidRDefault="001006A4" w:rsidP="00105DA0">
            <w:pPr>
              <w:spacing w:after="0" w:line="240" w:lineRule="auto"/>
              <w:jc w:val="right"/>
              <w:rPr>
                <w:rFonts w:ascii="Times New Roman" w:eastAsia="Calibri" w:hAnsi="Times New Roman" w:cs="Times New Roman"/>
                <w:bCs/>
                <w:sz w:val="20"/>
                <w:szCs w:val="20"/>
                <w:lang w:eastAsia="hr-HR"/>
              </w:rPr>
            </w:pPr>
            <w:r>
              <w:rPr>
                <w:rFonts w:ascii="Times New Roman" w:eastAsia="Calibri" w:hAnsi="Times New Roman" w:cs="Times New Roman"/>
                <w:bCs/>
                <w:sz w:val="20"/>
                <w:szCs w:val="20"/>
                <w:lang w:eastAsia="hr-HR"/>
              </w:rPr>
              <w:t>2.900</w:t>
            </w:r>
          </w:p>
        </w:tc>
      </w:tr>
      <w:tr w:rsidR="009D0090" w:rsidRPr="00511B73" w14:paraId="2D7A0E18" w14:textId="77777777" w:rsidTr="009D0090">
        <w:trPr>
          <w:cantSplit/>
          <w:trHeight w:val="414"/>
        </w:trPr>
        <w:tc>
          <w:tcPr>
            <w:tcW w:w="4537" w:type="dxa"/>
          </w:tcPr>
          <w:p w14:paraId="27B0EB8D" w14:textId="6BFEB3C4" w:rsidR="009D0090" w:rsidRPr="00775C9F" w:rsidRDefault="009D0090" w:rsidP="00105DA0">
            <w:pPr>
              <w:spacing w:after="0" w:line="240" w:lineRule="auto"/>
              <w:rPr>
                <w:rFonts w:ascii="Times New Roman" w:eastAsia="Calibri" w:hAnsi="Times New Roman" w:cs="Times New Roman"/>
                <w:bCs/>
                <w:sz w:val="20"/>
                <w:szCs w:val="20"/>
                <w:lang w:eastAsia="hr-HR"/>
              </w:rPr>
            </w:pPr>
            <w:r w:rsidRPr="00775C9F">
              <w:rPr>
                <w:rFonts w:ascii="Times New Roman" w:eastAsia="Calibri" w:hAnsi="Times New Roman" w:cs="Times New Roman"/>
                <w:bCs/>
                <w:sz w:val="20"/>
                <w:szCs w:val="20"/>
                <w:lang w:eastAsia="hr-HR"/>
              </w:rPr>
              <w:t>Rashodi za nabavu proizvedene dugotrajne imovine</w:t>
            </w:r>
          </w:p>
        </w:tc>
        <w:tc>
          <w:tcPr>
            <w:tcW w:w="1701" w:type="dxa"/>
            <w:vAlign w:val="bottom"/>
          </w:tcPr>
          <w:p w14:paraId="4949574A" w14:textId="2A0D81C6" w:rsidR="009D0090" w:rsidRPr="00775C9F" w:rsidRDefault="001006A4" w:rsidP="00105DA0">
            <w:pPr>
              <w:spacing w:after="0" w:line="240" w:lineRule="auto"/>
              <w:jc w:val="right"/>
              <w:rPr>
                <w:rFonts w:ascii="Times New Roman" w:eastAsia="Calibri" w:hAnsi="Times New Roman" w:cs="Times New Roman"/>
                <w:bCs/>
                <w:sz w:val="20"/>
                <w:szCs w:val="20"/>
                <w:lang w:eastAsia="hr-HR"/>
              </w:rPr>
            </w:pPr>
            <w:r>
              <w:rPr>
                <w:rFonts w:ascii="Times New Roman" w:eastAsia="Calibri" w:hAnsi="Times New Roman" w:cs="Times New Roman"/>
                <w:bCs/>
                <w:sz w:val="20"/>
                <w:szCs w:val="20"/>
                <w:lang w:eastAsia="hr-HR"/>
              </w:rPr>
              <w:t>11.600</w:t>
            </w:r>
          </w:p>
        </w:tc>
        <w:tc>
          <w:tcPr>
            <w:tcW w:w="1559" w:type="dxa"/>
          </w:tcPr>
          <w:p w14:paraId="1DA68E46" w14:textId="77777777" w:rsidR="009D0090" w:rsidRPr="00775C9F" w:rsidRDefault="009D0090" w:rsidP="00105DA0">
            <w:pPr>
              <w:spacing w:after="0" w:line="240" w:lineRule="auto"/>
              <w:jc w:val="right"/>
              <w:rPr>
                <w:rFonts w:ascii="Times New Roman" w:eastAsia="Calibri" w:hAnsi="Times New Roman" w:cs="Times New Roman"/>
                <w:bCs/>
                <w:sz w:val="20"/>
                <w:szCs w:val="20"/>
                <w:lang w:eastAsia="hr-HR"/>
              </w:rPr>
            </w:pPr>
          </w:p>
          <w:p w14:paraId="19ACC57C" w14:textId="77777777" w:rsidR="009D0090" w:rsidRPr="00775C9F" w:rsidRDefault="009D0090" w:rsidP="00105DA0">
            <w:pPr>
              <w:spacing w:after="0" w:line="240" w:lineRule="auto"/>
              <w:jc w:val="right"/>
              <w:rPr>
                <w:rFonts w:ascii="Times New Roman" w:eastAsia="Calibri" w:hAnsi="Times New Roman" w:cs="Times New Roman"/>
                <w:bCs/>
                <w:sz w:val="20"/>
                <w:szCs w:val="20"/>
                <w:lang w:eastAsia="hr-HR"/>
              </w:rPr>
            </w:pPr>
            <w:r w:rsidRPr="00775C9F">
              <w:rPr>
                <w:rFonts w:ascii="Times New Roman" w:eastAsia="Calibri" w:hAnsi="Times New Roman" w:cs="Times New Roman"/>
                <w:bCs/>
                <w:sz w:val="20"/>
                <w:szCs w:val="20"/>
                <w:lang w:eastAsia="hr-HR"/>
              </w:rPr>
              <w:t>0</w:t>
            </w:r>
          </w:p>
        </w:tc>
        <w:tc>
          <w:tcPr>
            <w:tcW w:w="1417" w:type="dxa"/>
          </w:tcPr>
          <w:p w14:paraId="7110B734" w14:textId="77777777" w:rsidR="001006A4" w:rsidRDefault="001006A4" w:rsidP="00105DA0">
            <w:pPr>
              <w:spacing w:after="0" w:line="240" w:lineRule="auto"/>
              <w:jc w:val="right"/>
              <w:rPr>
                <w:rFonts w:ascii="Times New Roman" w:eastAsia="Calibri" w:hAnsi="Times New Roman" w:cs="Times New Roman"/>
                <w:bCs/>
                <w:sz w:val="20"/>
                <w:szCs w:val="20"/>
                <w:lang w:eastAsia="hr-HR"/>
              </w:rPr>
            </w:pPr>
          </w:p>
          <w:p w14:paraId="4D34251B" w14:textId="54663BCB" w:rsidR="009D0090" w:rsidRPr="00775C9F" w:rsidRDefault="001006A4" w:rsidP="00105DA0">
            <w:pPr>
              <w:spacing w:after="0" w:line="240" w:lineRule="auto"/>
              <w:jc w:val="right"/>
              <w:rPr>
                <w:rFonts w:ascii="Times New Roman" w:eastAsia="Calibri" w:hAnsi="Times New Roman" w:cs="Times New Roman"/>
                <w:bCs/>
                <w:sz w:val="20"/>
                <w:szCs w:val="20"/>
                <w:lang w:eastAsia="hr-HR"/>
              </w:rPr>
            </w:pPr>
            <w:r>
              <w:rPr>
                <w:rFonts w:ascii="Times New Roman" w:eastAsia="Calibri" w:hAnsi="Times New Roman" w:cs="Times New Roman"/>
                <w:bCs/>
                <w:sz w:val="20"/>
                <w:szCs w:val="20"/>
                <w:lang w:eastAsia="hr-HR"/>
              </w:rPr>
              <w:t>11.600</w:t>
            </w:r>
          </w:p>
        </w:tc>
      </w:tr>
      <w:tr w:rsidR="009D0090" w:rsidRPr="00511B73" w14:paraId="6E3F7CE0" w14:textId="77777777" w:rsidTr="009D0090">
        <w:trPr>
          <w:cantSplit/>
        </w:trPr>
        <w:tc>
          <w:tcPr>
            <w:tcW w:w="4537" w:type="dxa"/>
            <w:shd w:val="clear" w:color="auto" w:fill="C0C0C0"/>
            <w:vAlign w:val="bottom"/>
          </w:tcPr>
          <w:p w14:paraId="3E7B8290" w14:textId="77777777" w:rsidR="009D0090" w:rsidRPr="00130EC2" w:rsidRDefault="009D0090" w:rsidP="00105DA0">
            <w:pPr>
              <w:spacing w:after="0" w:line="240" w:lineRule="auto"/>
              <w:rPr>
                <w:rFonts w:ascii="Times New Roman" w:eastAsia="Calibri" w:hAnsi="Times New Roman" w:cs="Times New Roman"/>
                <w:b/>
                <w:bCs/>
                <w:sz w:val="20"/>
                <w:szCs w:val="20"/>
                <w:lang w:eastAsia="hr-HR"/>
              </w:rPr>
            </w:pPr>
            <w:r w:rsidRPr="00130EC2">
              <w:rPr>
                <w:rFonts w:ascii="Times New Roman" w:eastAsia="Calibri" w:hAnsi="Times New Roman" w:cs="Times New Roman"/>
                <w:b/>
                <w:bCs/>
                <w:sz w:val="20"/>
                <w:szCs w:val="20"/>
                <w:lang w:eastAsia="hr-HR"/>
              </w:rPr>
              <w:t>UKUPNO</w:t>
            </w:r>
          </w:p>
        </w:tc>
        <w:tc>
          <w:tcPr>
            <w:tcW w:w="1701" w:type="dxa"/>
            <w:shd w:val="clear" w:color="auto" w:fill="C0C0C0"/>
            <w:vAlign w:val="bottom"/>
          </w:tcPr>
          <w:p w14:paraId="234CB1F8" w14:textId="75AB580C" w:rsidR="009D0090" w:rsidRPr="00130EC2" w:rsidRDefault="001006A4" w:rsidP="00105DA0">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380.330</w:t>
            </w:r>
          </w:p>
        </w:tc>
        <w:tc>
          <w:tcPr>
            <w:tcW w:w="1559" w:type="dxa"/>
            <w:shd w:val="clear" w:color="auto" w:fill="C0C0C0"/>
          </w:tcPr>
          <w:p w14:paraId="505440E6" w14:textId="0F62FE25" w:rsidR="009D0090" w:rsidRPr="00130EC2" w:rsidRDefault="001006A4" w:rsidP="00105DA0">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15.250</w:t>
            </w:r>
          </w:p>
        </w:tc>
        <w:tc>
          <w:tcPr>
            <w:tcW w:w="1417" w:type="dxa"/>
            <w:shd w:val="clear" w:color="auto" w:fill="C0C0C0"/>
          </w:tcPr>
          <w:p w14:paraId="4B4A8E2C" w14:textId="42D1A388" w:rsidR="009D0090" w:rsidRPr="00130EC2" w:rsidRDefault="001006A4" w:rsidP="00105DA0">
            <w:pPr>
              <w:spacing w:after="0" w:line="240" w:lineRule="auto"/>
              <w:jc w:val="right"/>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eastAsia="hr-HR"/>
              </w:rPr>
              <w:t>395.550</w:t>
            </w:r>
          </w:p>
        </w:tc>
      </w:tr>
    </w:tbl>
    <w:p w14:paraId="223C3512" w14:textId="7ACCA7FD" w:rsidR="00D94E08" w:rsidRDefault="00D94E08" w:rsidP="00D149F9">
      <w:pPr>
        <w:spacing w:after="0" w:line="240" w:lineRule="auto"/>
        <w:ind w:firstLine="708"/>
        <w:jc w:val="both"/>
        <w:rPr>
          <w:rFonts w:ascii="Times New Roman" w:eastAsia="Calibri" w:hAnsi="Times New Roman" w:cs="Times New Roman"/>
          <w:color w:val="FF0000"/>
          <w:sz w:val="20"/>
          <w:szCs w:val="20"/>
        </w:rPr>
      </w:pPr>
    </w:p>
    <w:p w14:paraId="18558215" w14:textId="77777777" w:rsidR="00D94E08" w:rsidRPr="00511B73" w:rsidRDefault="00D94E08" w:rsidP="00D149F9">
      <w:pPr>
        <w:spacing w:after="0" w:line="240" w:lineRule="auto"/>
        <w:ind w:firstLine="708"/>
        <w:jc w:val="both"/>
        <w:rPr>
          <w:rFonts w:ascii="Times New Roman" w:eastAsia="Calibri" w:hAnsi="Times New Roman" w:cs="Times New Roman"/>
          <w:color w:val="FF0000"/>
          <w:sz w:val="20"/>
          <w:szCs w:val="20"/>
        </w:rPr>
      </w:pPr>
    </w:p>
    <w:p w14:paraId="7ADB1AE5" w14:textId="23B16993" w:rsidR="00D149F9" w:rsidRDefault="009D0090" w:rsidP="00D149F9">
      <w:pPr>
        <w:spacing w:after="0" w:line="240" w:lineRule="auto"/>
        <w:ind w:firstLine="708"/>
        <w:jc w:val="both"/>
        <w:rPr>
          <w:rFonts w:ascii="Times New Roman" w:eastAsia="Calibri" w:hAnsi="Times New Roman" w:cs="Times New Roman"/>
          <w:sz w:val="20"/>
          <w:szCs w:val="20"/>
        </w:rPr>
      </w:pPr>
      <w:r w:rsidRPr="009D0090">
        <w:rPr>
          <w:rFonts w:ascii="Times New Roman" w:eastAsia="Calibri" w:hAnsi="Times New Roman" w:cs="Times New Roman"/>
          <w:sz w:val="20"/>
          <w:szCs w:val="20"/>
        </w:rPr>
        <w:t>R</w:t>
      </w:r>
      <w:r w:rsidR="00D149F9" w:rsidRPr="009D0090">
        <w:rPr>
          <w:rFonts w:ascii="Times New Roman" w:eastAsia="Calibri" w:hAnsi="Times New Roman" w:cs="Times New Roman"/>
          <w:b/>
          <w:sz w:val="20"/>
          <w:szCs w:val="20"/>
        </w:rPr>
        <w:t>ashod</w:t>
      </w:r>
      <w:r w:rsidRPr="009D0090">
        <w:rPr>
          <w:rFonts w:ascii="Times New Roman" w:eastAsia="Calibri" w:hAnsi="Times New Roman" w:cs="Times New Roman"/>
          <w:b/>
          <w:sz w:val="20"/>
          <w:szCs w:val="20"/>
        </w:rPr>
        <w:t>i</w:t>
      </w:r>
      <w:r w:rsidR="00D149F9" w:rsidRPr="009D0090">
        <w:rPr>
          <w:rFonts w:ascii="Times New Roman" w:eastAsia="Calibri" w:hAnsi="Times New Roman" w:cs="Times New Roman"/>
          <w:b/>
          <w:sz w:val="20"/>
          <w:szCs w:val="20"/>
        </w:rPr>
        <w:t xml:space="preserve"> poslovanja</w:t>
      </w:r>
      <w:r w:rsidR="00D149F9" w:rsidRPr="009D0090">
        <w:rPr>
          <w:rFonts w:ascii="Times New Roman" w:eastAsia="Calibri" w:hAnsi="Times New Roman" w:cs="Times New Roman"/>
          <w:sz w:val="20"/>
          <w:szCs w:val="20"/>
        </w:rPr>
        <w:t xml:space="preserve"> </w:t>
      </w:r>
      <w:r w:rsidRPr="009D0090">
        <w:rPr>
          <w:rFonts w:ascii="Times New Roman" w:eastAsia="Calibri" w:hAnsi="Times New Roman" w:cs="Times New Roman"/>
          <w:sz w:val="20"/>
          <w:szCs w:val="20"/>
        </w:rPr>
        <w:t xml:space="preserve">povećani su za </w:t>
      </w:r>
      <w:r w:rsidR="001006A4">
        <w:rPr>
          <w:rFonts w:ascii="Times New Roman" w:eastAsia="Calibri" w:hAnsi="Times New Roman" w:cs="Times New Roman"/>
          <w:sz w:val="20"/>
          <w:szCs w:val="20"/>
        </w:rPr>
        <w:t>15.250</w:t>
      </w:r>
      <w:r w:rsidRPr="009D0090">
        <w:rPr>
          <w:rFonts w:ascii="Times New Roman" w:eastAsia="Calibri" w:hAnsi="Times New Roman" w:cs="Times New Roman"/>
          <w:sz w:val="20"/>
          <w:szCs w:val="20"/>
        </w:rPr>
        <w:t xml:space="preserve"> eura i to unutar izvora </w:t>
      </w:r>
      <w:r w:rsidR="001006A4">
        <w:rPr>
          <w:rFonts w:ascii="Times New Roman" w:eastAsia="Calibri" w:hAnsi="Times New Roman" w:cs="Times New Roman"/>
          <w:sz w:val="20"/>
          <w:szCs w:val="20"/>
        </w:rPr>
        <w:t>11 povećava se 11.250</w:t>
      </w:r>
      <w:r w:rsidR="00D802C2">
        <w:rPr>
          <w:rFonts w:ascii="Times New Roman" w:eastAsia="Calibri" w:hAnsi="Times New Roman" w:cs="Times New Roman"/>
          <w:sz w:val="20"/>
          <w:szCs w:val="20"/>
        </w:rPr>
        <w:t xml:space="preserve"> eura</w:t>
      </w:r>
      <w:r w:rsidR="001006A4">
        <w:rPr>
          <w:rFonts w:ascii="Times New Roman" w:eastAsia="Calibri" w:hAnsi="Times New Roman" w:cs="Times New Roman"/>
          <w:sz w:val="20"/>
          <w:szCs w:val="20"/>
        </w:rPr>
        <w:t xml:space="preserve"> te se iz izvora 54 povećava </w:t>
      </w:r>
      <w:r w:rsidR="00606485">
        <w:rPr>
          <w:rFonts w:ascii="Times New Roman" w:eastAsia="Calibri" w:hAnsi="Times New Roman" w:cs="Times New Roman"/>
          <w:sz w:val="20"/>
          <w:szCs w:val="20"/>
        </w:rPr>
        <w:t>za 4.050 eura.</w:t>
      </w:r>
      <w:r w:rsidRPr="009D0090">
        <w:rPr>
          <w:rFonts w:ascii="Times New Roman" w:eastAsia="Calibri" w:hAnsi="Times New Roman" w:cs="Times New Roman"/>
          <w:sz w:val="20"/>
          <w:szCs w:val="20"/>
        </w:rPr>
        <w:t xml:space="preserve"> </w:t>
      </w:r>
    </w:p>
    <w:p w14:paraId="1334CF0E" w14:textId="77777777" w:rsidR="00BE0531" w:rsidRDefault="00BE0531" w:rsidP="00D149F9">
      <w:pPr>
        <w:spacing w:after="0" w:line="240" w:lineRule="auto"/>
        <w:ind w:firstLine="708"/>
        <w:jc w:val="both"/>
        <w:rPr>
          <w:rFonts w:ascii="Times New Roman" w:eastAsia="Calibri" w:hAnsi="Times New Roman" w:cs="Times New Roman"/>
          <w:sz w:val="20"/>
          <w:szCs w:val="20"/>
        </w:rPr>
      </w:pPr>
    </w:p>
    <w:p w14:paraId="7CE76FDA" w14:textId="2F69090E" w:rsidR="009D0090" w:rsidRDefault="00606485" w:rsidP="00D149F9">
      <w:pPr>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Povećani iznos u izvoru 11 planiran je u</w:t>
      </w:r>
      <w:r w:rsidR="00BB3568">
        <w:rPr>
          <w:rFonts w:ascii="Times New Roman" w:eastAsia="Calibri" w:hAnsi="Times New Roman" w:cs="Times New Roman"/>
          <w:sz w:val="20"/>
          <w:szCs w:val="20"/>
        </w:rPr>
        <w:t xml:space="preserve"> aktivnos</w:t>
      </w:r>
      <w:r>
        <w:rPr>
          <w:rFonts w:ascii="Times New Roman" w:eastAsia="Calibri" w:hAnsi="Times New Roman" w:cs="Times New Roman"/>
          <w:sz w:val="20"/>
          <w:szCs w:val="20"/>
        </w:rPr>
        <w:t>t</w:t>
      </w:r>
      <w:r w:rsidR="00BB3568">
        <w:rPr>
          <w:rFonts w:ascii="Times New Roman" w:eastAsia="Calibri" w:hAnsi="Times New Roman" w:cs="Times New Roman"/>
          <w:sz w:val="20"/>
          <w:szCs w:val="20"/>
        </w:rPr>
        <w:t>i Opći rashodi</w:t>
      </w:r>
      <w:r w:rsidR="00D4416D">
        <w:rPr>
          <w:rFonts w:ascii="Times New Roman" w:eastAsia="Calibri" w:hAnsi="Times New Roman" w:cs="Times New Roman"/>
          <w:sz w:val="20"/>
          <w:szCs w:val="20"/>
        </w:rPr>
        <w:t xml:space="preserve"> </w:t>
      </w:r>
      <w:r w:rsidR="00BB3568">
        <w:rPr>
          <w:rFonts w:ascii="Times New Roman" w:eastAsia="Calibri" w:hAnsi="Times New Roman" w:cs="Times New Roman"/>
          <w:sz w:val="20"/>
          <w:szCs w:val="20"/>
        </w:rPr>
        <w:t>i to za</w:t>
      </w:r>
      <w:r w:rsidR="009D0090">
        <w:rPr>
          <w:rFonts w:ascii="Times New Roman" w:eastAsia="Calibri" w:hAnsi="Times New Roman" w:cs="Times New Roman"/>
          <w:sz w:val="20"/>
          <w:szCs w:val="20"/>
        </w:rPr>
        <w:t xml:space="preserve"> troškove </w:t>
      </w:r>
      <w:r w:rsidR="00BB3568">
        <w:rPr>
          <w:rFonts w:ascii="Times New Roman" w:eastAsia="Calibri" w:hAnsi="Times New Roman" w:cs="Times New Roman"/>
          <w:sz w:val="20"/>
          <w:szCs w:val="20"/>
        </w:rPr>
        <w:t xml:space="preserve">za zaposlene, </w:t>
      </w:r>
      <w:r w:rsidR="009D0090">
        <w:rPr>
          <w:rFonts w:ascii="Times New Roman" w:eastAsia="Calibri" w:hAnsi="Times New Roman" w:cs="Times New Roman"/>
          <w:sz w:val="20"/>
          <w:szCs w:val="20"/>
        </w:rPr>
        <w:t>službenih putovanja</w:t>
      </w:r>
      <w:r w:rsidR="00BB3568">
        <w:rPr>
          <w:rFonts w:ascii="Times New Roman" w:eastAsia="Calibri" w:hAnsi="Times New Roman" w:cs="Times New Roman"/>
          <w:sz w:val="20"/>
          <w:szCs w:val="20"/>
        </w:rPr>
        <w:t xml:space="preserve"> i </w:t>
      </w:r>
      <w:r>
        <w:rPr>
          <w:rFonts w:ascii="Times New Roman" w:eastAsia="Calibri" w:hAnsi="Times New Roman" w:cs="Times New Roman"/>
          <w:sz w:val="20"/>
          <w:szCs w:val="20"/>
        </w:rPr>
        <w:t>usluga za tekuće i investicijsko održavanje</w:t>
      </w:r>
      <w:r w:rsidR="00BB3568">
        <w:rPr>
          <w:rFonts w:ascii="Times New Roman" w:eastAsia="Calibri" w:hAnsi="Times New Roman" w:cs="Times New Roman"/>
          <w:sz w:val="20"/>
          <w:szCs w:val="20"/>
        </w:rPr>
        <w:t>.</w:t>
      </w:r>
      <w:r>
        <w:rPr>
          <w:rFonts w:ascii="Times New Roman" w:eastAsia="Calibri" w:hAnsi="Times New Roman" w:cs="Times New Roman"/>
          <w:sz w:val="20"/>
          <w:szCs w:val="20"/>
        </w:rPr>
        <w:t xml:space="preserve"> Unutar iste aktivnosti povećava se trošak po izvoru 54 i to za troškove za zaposlene, službena putovanja i intelektualne usluge.</w:t>
      </w:r>
    </w:p>
    <w:p w14:paraId="6411887A" w14:textId="77777777" w:rsidR="00BE0531" w:rsidRDefault="00BE0531" w:rsidP="00D149F9">
      <w:pPr>
        <w:spacing w:after="0" w:line="240" w:lineRule="auto"/>
        <w:ind w:firstLine="708"/>
        <w:jc w:val="both"/>
        <w:rPr>
          <w:rFonts w:ascii="Times New Roman" w:eastAsia="Calibri" w:hAnsi="Times New Roman" w:cs="Times New Roman"/>
          <w:sz w:val="20"/>
          <w:szCs w:val="20"/>
        </w:rPr>
      </w:pPr>
    </w:p>
    <w:p w14:paraId="26C9DDE9" w14:textId="34DEC68D" w:rsidR="00BB3568" w:rsidRDefault="00606485" w:rsidP="00D149F9">
      <w:pPr>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Umanjuje se iznos od 7</w:t>
      </w:r>
      <w:bookmarkStart w:id="0" w:name="_GoBack"/>
      <w:r>
        <w:rPr>
          <w:rFonts w:ascii="Times New Roman" w:eastAsia="Calibri" w:hAnsi="Times New Roman" w:cs="Times New Roman"/>
          <w:sz w:val="20"/>
          <w:szCs w:val="20"/>
        </w:rPr>
        <w:t xml:space="preserve">.200 </w:t>
      </w:r>
      <w:bookmarkEnd w:id="0"/>
      <w:r>
        <w:rPr>
          <w:rFonts w:ascii="Times New Roman" w:eastAsia="Calibri" w:hAnsi="Times New Roman" w:cs="Times New Roman"/>
          <w:sz w:val="20"/>
          <w:szCs w:val="20"/>
        </w:rPr>
        <w:t>eura</w:t>
      </w:r>
      <w:r w:rsidR="00BF34CD">
        <w:rPr>
          <w:rFonts w:ascii="Times New Roman" w:eastAsia="Calibri" w:hAnsi="Times New Roman" w:cs="Times New Roman"/>
          <w:sz w:val="20"/>
          <w:szCs w:val="20"/>
        </w:rPr>
        <w:t xml:space="preserve"> u projektu </w:t>
      </w:r>
      <w:r w:rsidR="00BF34CD" w:rsidRPr="00B970DF">
        <w:rPr>
          <w:rFonts w:ascii="Times New Roman" w:eastAsia="Calibri" w:hAnsi="Times New Roman" w:cs="Times New Roman"/>
          <w:sz w:val="20"/>
          <w:szCs w:val="20"/>
        </w:rPr>
        <w:t>„Izmjena i dopuna prostornog plana Parka prirode Kopački rit“</w:t>
      </w:r>
      <w:r w:rsidR="00BF34CD">
        <w:rPr>
          <w:rFonts w:ascii="Times New Roman" w:eastAsia="Calibri" w:hAnsi="Times New Roman" w:cs="Times New Roman"/>
          <w:sz w:val="20"/>
          <w:szCs w:val="20"/>
        </w:rPr>
        <w:t xml:space="preserve">, </w:t>
      </w:r>
      <w:r>
        <w:rPr>
          <w:rFonts w:ascii="Times New Roman" w:eastAsia="Calibri" w:hAnsi="Times New Roman" w:cs="Times New Roman"/>
          <w:sz w:val="20"/>
          <w:szCs w:val="20"/>
        </w:rPr>
        <w:t>jer je preostali iznos sredstava za 2024. godinu manji od procijenjenog prilikom donošenja Plana za 2024. godinu. Procijenjeno je da će ostati 37.300, ali se tijekom 2023. godine ipak utrošilo više sredstava te je preostali iznos u ovoj godini 30.100 eura. Povećana su sredstva za intelektualne usluge i grafičke i tiskarske usluge, a umanje</w:t>
      </w:r>
      <w:r w:rsidR="00BB0AD3">
        <w:rPr>
          <w:rFonts w:ascii="Times New Roman" w:eastAsia="Calibri" w:hAnsi="Times New Roman" w:cs="Times New Roman"/>
          <w:sz w:val="20"/>
          <w:szCs w:val="20"/>
        </w:rPr>
        <w:t>n</w:t>
      </w:r>
      <w:r>
        <w:rPr>
          <w:rFonts w:ascii="Times New Roman" w:eastAsia="Calibri" w:hAnsi="Times New Roman" w:cs="Times New Roman"/>
          <w:sz w:val="20"/>
          <w:szCs w:val="20"/>
        </w:rPr>
        <w:t xml:space="preserve"> je planirani iznos za rashode za zaposlene.</w:t>
      </w:r>
    </w:p>
    <w:p w14:paraId="21953437" w14:textId="7400D8AD" w:rsidR="00E71DDF" w:rsidRDefault="00E71DDF" w:rsidP="00D149F9">
      <w:pPr>
        <w:spacing w:after="0" w:line="240" w:lineRule="auto"/>
        <w:ind w:firstLine="708"/>
        <w:jc w:val="both"/>
        <w:rPr>
          <w:rFonts w:ascii="Times New Roman" w:eastAsia="Calibri" w:hAnsi="Times New Roman" w:cs="Times New Roman"/>
          <w:sz w:val="20"/>
          <w:szCs w:val="20"/>
        </w:rPr>
      </w:pPr>
    </w:p>
    <w:p w14:paraId="35E60ED3" w14:textId="77777777" w:rsidR="00BB3568" w:rsidRPr="009D0090" w:rsidRDefault="00BB3568" w:rsidP="00D149F9">
      <w:pPr>
        <w:spacing w:after="0" w:line="240" w:lineRule="auto"/>
        <w:ind w:firstLine="708"/>
        <w:jc w:val="both"/>
        <w:rPr>
          <w:rFonts w:ascii="Times New Roman" w:eastAsia="Calibri" w:hAnsi="Times New Roman" w:cs="Times New Roman"/>
          <w:sz w:val="20"/>
          <w:szCs w:val="20"/>
        </w:rPr>
      </w:pPr>
    </w:p>
    <w:p w14:paraId="5D9ECBF9" w14:textId="77777777" w:rsidR="004C5A1E" w:rsidRPr="00511B73" w:rsidRDefault="004C5A1E" w:rsidP="00030634">
      <w:pPr>
        <w:spacing w:after="0" w:line="240" w:lineRule="auto"/>
        <w:jc w:val="both"/>
        <w:rPr>
          <w:rFonts w:ascii="Times New Roman" w:eastAsia="Calibri" w:hAnsi="Times New Roman" w:cs="Times New Roman"/>
          <w:color w:val="FF0000"/>
          <w:sz w:val="20"/>
          <w:szCs w:val="20"/>
        </w:rPr>
      </w:pPr>
    </w:p>
    <w:p w14:paraId="25472A2D" w14:textId="77777777" w:rsidR="004C5A1E" w:rsidRPr="00511B73" w:rsidRDefault="004C5A1E" w:rsidP="00D149F9">
      <w:pPr>
        <w:spacing w:after="0" w:line="240" w:lineRule="auto"/>
        <w:jc w:val="both"/>
        <w:rPr>
          <w:rFonts w:ascii="Times New Roman" w:eastAsia="Calibri" w:hAnsi="Times New Roman" w:cs="Times New Roman"/>
          <w:color w:val="FF0000"/>
          <w:sz w:val="20"/>
          <w:szCs w:val="20"/>
        </w:rPr>
      </w:pPr>
    </w:p>
    <w:p w14:paraId="3629B4E0" w14:textId="56271E97" w:rsidR="00D149F9" w:rsidRPr="00BF34CD" w:rsidRDefault="00D149F9" w:rsidP="00732A5E">
      <w:pPr>
        <w:spacing w:after="0" w:line="240" w:lineRule="auto"/>
        <w:ind w:firstLine="709"/>
        <w:jc w:val="both"/>
        <w:rPr>
          <w:rFonts w:ascii="Times New Roman" w:eastAsia="Calibri" w:hAnsi="Times New Roman" w:cs="Times New Roman"/>
          <w:b/>
          <w:sz w:val="20"/>
          <w:szCs w:val="20"/>
        </w:rPr>
      </w:pPr>
      <w:r w:rsidRPr="00BF34CD">
        <w:rPr>
          <w:rFonts w:ascii="Times New Roman" w:eastAsia="Calibri" w:hAnsi="Times New Roman" w:cs="Times New Roman"/>
          <w:b/>
          <w:sz w:val="20"/>
          <w:szCs w:val="20"/>
        </w:rPr>
        <w:t xml:space="preserve">Rashodi za nabavu nefinancijske imovine </w:t>
      </w:r>
      <w:r w:rsidR="008B3230" w:rsidRPr="008B3230">
        <w:rPr>
          <w:rFonts w:ascii="Times New Roman" w:eastAsia="Calibri" w:hAnsi="Times New Roman" w:cs="Times New Roman"/>
          <w:sz w:val="20"/>
          <w:szCs w:val="20"/>
        </w:rPr>
        <w:t xml:space="preserve">planirani su u iznosu </w:t>
      </w:r>
      <w:r w:rsidR="00606485">
        <w:rPr>
          <w:rFonts w:ascii="Times New Roman" w:eastAsia="Calibri" w:hAnsi="Times New Roman" w:cs="Times New Roman"/>
          <w:sz w:val="20"/>
          <w:szCs w:val="20"/>
        </w:rPr>
        <w:t>14.500</w:t>
      </w:r>
      <w:r w:rsidR="008B3230" w:rsidRPr="008B3230">
        <w:rPr>
          <w:rFonts w:ascii="Times New Roman" w:eastAsia="Calibri" w:hAnsi="Times New Roman" w:cs="Times New Roman"/>
          <w:sz w:val="20"/>
          <w:szCs w:val="20"/>
        </w:rPr>
        <w:t xml:space="preserve"> eura te</w:t>
      </w:r>
      <w:r w:rsidR="008B3230">
        <w:rPr>
          <w:rFonts w:ascii="Times New Roman" w:eastAsia="Calibri" w:hAnsi="Times New Roman" w:cs="Times New Roman"/>
          <w:b/>
          <w:sz w:val="20"/>
          <w:szCs w:val="20"/>
        </w:rPr>
        <w:t xml:space="preserve"> </w:t>
      </w:r>
      <w:r w:rsidR="00BF34CD" w:rsidRPr="00BF34CD">
        <w:rPr>
          <w:rFonts w:ascii="Times New Roman" w:eastAsia="Calibri" w:hAnsi="Times New Roman" w:cs="Times New Roman"/>
          <w:sz w:val="20"/>
          <w:szCs w:val="20"/>
        </w:rPr>
        <w:t xml:space="preserve">se </w:t>
      </w:r>
      <w:r w:rsidR="008B3230">
        <w:rPr>
          <w:rFonts w:ascii="Times New Roman" w:eastAsia="Calibri" w:hAnsi="Times New Roman" w:cs="Times New Roman"/>
          <w:sz w:val="20"/>
          <w:szCs w:val="20"/>
        </w:rPr>
        <w:t>rebalansom planirani iznos nije</w:t>
      </w:r>
      <w:r w:rsidR="00BF34CD" w:rsidRPr="00BF34CD">
        <w:rPr>
          <w:rFonts w:ascii="Times New Roman" w:eastAsia="Calibri" w:hAnsi="Times New Roman" w:cs="Times New Roman"/>
          <w:sz w:val="20"/>
          <w:szCs w:val="20"/>
        </w:rPr>
        <w:t xml:space="preserve"> mijenja</w:t>
      </w:r>
      <w:r w:rsidR="008B3230">
        <w:rPr>
          <w:rFonts w:ascii="Times New Roman" w:eastAsia="Calibri" w:hAnsi="Times New Roman" w:cs="Times New Roman"/>
          <w:sz w:val="20"/>
          <w:szCs w:val="20"/>
        </w:rPr>
        <w:t>o</w:t>
      </w:r>
      <w:r w:rsidR="00BF34CD" w:rsidRPr="00BF34CD">
        <w:rPr>
          <w:rFonts w:ascii="Times New Roman" w:eastAsia="Calibri" w:hAnsi="Times New Roman" w:cs="Times New Roman"/>
          <w:sz w:val="20"/>
          <w:szCs w:val="20"/>
        </w:rPr>
        <w:t>.</w:t>
      </w:r>
    </w:p>
    <w:p w14:paraId="790CB583" w14:textId="77777777" w:rsidR="00B011A0" w:rsidRPr="00511B73" w:rsidRDefault="00B011A0" w:rsidP="00B011A0">
      <w:pPr>
        <w:spacing w:after="0" w:line="240" w:lineRule="auto"/>
        <w:jc w:val="both"/>
        <w:rPr>
          <w:rFonts w:ascii="Times New Roman" w:eastAsia="Calibri" w:hAnsi="Times New Roman" w:cs="Times New Roman"/>
          <w:b/>
          <w:color w:val="FF0000"/>
          <w:sz w:val="20"/>
          <w:szCs w:val="20"/>
        </w:rPr>
      </w:pPr>
    </w:p>
    <w:p w14:paraId="525155CC" w14:textId="033870CF" w:rsidR="00D149F9" w:rsidRDefault="00D149F9" w:rsidP="00D149F9">
      <w:pPr>
        <w:spacing w:after="0" w:line="240" w:lineRule="auto"/>
        <w:jc w:val="both"/>
        <w:rPr>
          <w:rFonts w:ascii="Times New Roman" w:eastAsia="Calibri" w:hAnsi="Times New Roman" w:cs="Times New Roman"/>
          <w:color w:val="FF0000"/>
          <w:sz w:val="20"/>
          <w:szCs w:val="20"/>
        </w:rPr>
      </w:pPr>
    </w:p>
    <w:p w14:paraId="274C5F76" w14:textId="37F6F66E" w:rsidR="0008108E" w:rsidRDefault="0008108E" w:rsidP="00D149F9">
      <w:pPr>
        <w:spacing w:after="0" w:line="240" w:lineRule="auto"/>
        <w:jc w:val="both"/>
        <w:rPr>
          <w:rFonts w:ascii="Times New Roman" w:eastAsia="Calibri" w:hAnsi="Times New Roman" w:cs="Times New Roman"/>
          <w:color w:val="FF0000"/>
          <w:sz w:val="20"/>
          <w:szCs w:val="20"/>
        </w:rPr>
      </w:pPr>
    </w:p>
    <w:p w14:paraId="1858AC29" w14:textId="77777777" w:rsidR="0008108E" w:rsidRPr="00511B73" w:rsidRDefault="0008108E" w:rsidP="00D149F9">
      <w:pPr>
        <w:spacing w:after="0" w:line="240" w:lineRule="auto"/>
        <w:jc w:val="both"/>
        <w:rPr>
          <w:rFonts w:ascii="Times New Roman" w:eastAsia="Calibri" w:hAnsi="Times New Roman" w:cs="Times New Roman"/>
          <w:color w:val="FF0000"/>
          <w:sz w:val="20"/>
          <w:szCs w:val="20"/>
        </w:rPr>
      </w:pPr>
    </w:p>
    <w:p w14:paraId="1555441C" w14:textId="77777777" w:rsidR="00E1001B" w:rsidRPr="00511B73" w:rsidRDefault="00E1001B" w:rsidP="00E1001B">
      <w:pPr>
        <w:spacing w:after="0" w:line="240" w:lineRule="auto"/>
        <w:ind w:firstLine="720"/>
        <w:jc w:val="both"/>
        <w:rPr>
          <w:rFonts w:ascii="Times New Roman" w:eastAsia="Calibri" w:hAnsi="Times New Roman" w:cs="Times New Roman"/>
          <w:color w:val="FF0000"/>
          <w:sz w:val="20"/>
          <w:szCs w:val="20"/>
        </w:rPr>
      </w:pPr>
    </w:p>
    <w:p w14:paraId="2AD68852" w14:textId="77777777" w:rsidR="0008108E" w:rsidRDefault="0008108E" w:rsidP="0008108E">
      <w:pPr>
        <w:spacing w:after="0" w:line="240" w:lineRule="auto"/>
        <w:jc w:val="both"/>
        <w:rPr>
          <w:rFonts w:ascii="Times New Roman" w:eastAsia="Calibri" w:hAnsi="Times New Roman" w:cs="Times New Roman"/>
          <w:b/>
          <w:i/>
          <w:u w:val="single"/>
        </w:rPr>
      </w:pPr>
      <w:r>
        <w:rPr>
          <w:rFonts w:ascii="Times New Roman" w:eastAsia="Calibri" w:hAnsi="Times New Roman" w:cs="Times New Roman"/>
          <w:b/>
          <w:i/>
          <w:u w:val="single"/>
        </w:rPr>
        <w:t>VIŠKOVI/MANJKOVI</w:t>
      </w:r>
    </w:p>
    <w:p w14:paraId="58977733" w14:textId="45C4BA31" w:rsidR="0008108E" w:rsidRPr="00E71DDF" w:rsidRDefault="0008108E"/>
    <w:p w14:paraId="2DE30F72" w14:textId="77777777" w:rsidR="003D0A08" w:rsidRDefault="0008108E" w:rsidP="008B3230">
      <w:pPr>
        <w:ind w:firstLine="709"/>
        <w:jc w:val="both"/>
        <w:rPr>
          <w:rFonts w:ascii="Times New Roman" w:hAnsi="Times New Roman" w:cs="Times New Roman"/>
          <w:sz w:val="20"/>
          <w:szCs w:val="20"/>
        </w:rPr>
      </w:pPr>
      <w:r w:rsidRPr="00E71DDF">
        <w:rPr>
          <w:rFonts w:ascii="Times New Roman" w:hAnsi="Times New Roman" w:cs="Times New Roman"/>
          <w:b/>
          <w:bCs/>
          <w:i/>
          <w:iCs/>
          <w:sz w:val="20"/>
          <w:szCs w:val="20"/>
        </w:rPr>
        <w:t xml:space="preserve">Rezultat poslovanja </w:t>
      </w:r>
      <w:r w:rsidRPr="00E71DDF">
        <w:rPr>
          <w:rFonts w:ascii="Times New Roman" w:hAnsi="Times New Roman" w:cs="Times New Roman"/>
          <w:sz w:val="20"/>
          <w:szCs w:val="20"/>
        </w:rPr>
        <w:t xml:space="preserve">ostvaren je u prethodnim godinama od uplata Ministarstva graditeljstva i prostornog uređenja, Hrvatskog zavoda za prostorni razvoj (u tekstu </w:t>
      </w:r>
      <w:r w:rsidR="00C4054B">
        <w:rPr>
          <w:rFonts w:ascii="Times New Roman" w:hAnsi="Times New Roman" w:cs="Times New Roman"/>
          <w:sz w:val="20"/>
          <w:szCs w:val="20"/>
        </w:rPr>
        <w:t>se</w:t>
      </w:r>
      <w:r w:rsidRPr="00E71DDF">
        <w:rPr>
          <w:rFonts w:ascii="Times New Roman" w:hAnsi="Times New Roman" w:cs="Times New Roman"/>
          <w:sz w:val="20"/>
          <w:szCs w:val="20"/>
        </w:rPr>
        <w:t xml:space="preserve"> kori</w:t>
      </w:r>
      <w:r w:rsidR="00C4054B">
        <w:rPr>
          <w:rFonts w:ascii="Times New Roman" w:hAnsi="Times New Roman" w:cs="Times New Roman"/>
          <w:sz w:val="20"/>
          <w:szCs w:val="20"/>
        </w:rPr>
        <w:t xml:space="preserve">ste </w:t>
      </w:r>
      <w:r w:rsidRPr="00E71DDF">
        <w:rPr>
          <w:rFonts w:ascii="Times New Roman" w:hAnsi="Times New Roman" w:cs="Times New Roman"/>
          <w:sz w:val="20"/>
          <w:szCs w:val="20"/>
        </w:rPr>
        <w:t xml:space="preserve">kao izvor pomoći) i Ina-Industrija nafte, d.d. (u tekstu </w:t>
      </w:r>
      <w:r w:rsidR="00C4054B">
        <w:rPr>
          <w:rFonts w:ascii="Times New Roman" w:hAnsi="Times New Roman" w:cs="Times New Roman"/>
          <w:sz w:val="20"/>
          <w:szCs w:val="20"/>
        </w:rPr>
        <w:t>se</w:t>
      </w:r>
      <w:r w:rsidRPr="00E71DDF">
        <w:rPr>
          <w:rFonts w:ascii="Times New Roman" w:hAnsi="Times New Roman" w:cs="Times New Roman"/>
          <w:sz w:val="20"/>
          <w:szCs w:val="20"/>
        </w:rPr>
        <w:t xml:space="preserve"> kori</w:t>
      </w:r>
      <w:r w:rsidR="00C4054B">
        <w:rPr>
          <w:rFonts w:ascii="Times New Roman" w:hAnsi="Times New Roman" w:cs="Times New Roman"/>
          <w:sz w:val="20"/>
          <w:szCs w:val="20"/>
        </w:rPr>
        <w:t>ste</w:t>
      </w:r>
      <w:r w:rsidRPr="00E71DDF">
        <w:rPr>
          <w:rFonts w:ascii="Times New Roman" w:hAnsi="Times New Roman" w:cs="Times New Roman"/>
          <w:sz w:val="20"/>
          <w:szCs w:val="20"/>
        </w:rPr>
        <w:t xml:space="preserve"> kao vlastita sredstva) temeljem sklopljenih ugovora. Budući da cijeli iznos nije utrošen u prethodnim godinama koristi  se za pokriće troškova u 202</w:t>
      </w:r>
      <w:r w:rsidR="00606485">
        <w:rPr>
          <w:rFonts w:ascii="Times New Roman" w:hAnsi="Times New Roman" w:cs="Times New Roman"/>
          <w:sz w:val="20"/>
          <w:szCs w:val="20"/>
        </w:rPr>
        <w:t>4</w:t>
      </w:r>
      <w:r w:rsidRPr="00E71DDF">
        <w:rPr>
          <w:rFonts w:ascii="Times New Roman" w:hAnsi="Times New Roman" w:cs="Times New Roman"/>
          <w:sz w:val="20"/>
          <w:szCs w:val="20"/>
        </w:rPr>
        <w:t xml:space="preserve">. godini u iznosu od </w:t>
      </w:r>
      <w:r w:rsidR="003D0A08">
        <w:rPr>
          <w:rFonts w:ascii="Times New Roman" w:hAnsi="Times New Roman" w:cs="Times New Roman"/>
          <w:sz w:val="20"/>
          <w:szCs w:val="20"/>
        </w:rPr>
        <w:t xml:space="preserve">39.300 </w:t>
      </w:r>
      <w:r w:rsidRPr="00E71DDF">
        <w:rPr>
          <w:rFonts w:ascii="Times New Roman" w:hAnsi="Times New Roman" w:cs="Times New Roman"/>
          <w:sz w:val="20"/>
          <w:szCs w:val="20"/>
        </w:rPr>
        <w:t>eura</w:t>
      </w:r>
      <w:r w:rsidR="003D0A08">
        <w:rPr>
          <w:rFonts w:ascii="Times New Roman" w:hAnsi="Times New Roman" w:cs="Times New Roman"/>
          <w:sz w:val="20"/>
          <w:szCs w:val="20"/>
        </w:rPr>
        <w:t xml:space="preserve"> te je rebalansom povećan na 44.850 eura</w:t>
      </w:r>
      <w:r w:rsidRPr="00E71DDF">
        <w:rPr>
          <w:rFonts w:ascii="Times New Roman" w:hAnsi="Times New Roman" w:cs="Times New Roman"/>
          <w:sz w:val="20"/>
          <w:szCs w:val="20"/>
        </w:rPr>
        <w:t>.</w:t>
      </w:r>
    </w:p>
    <w:p w14:paraId="3A4D0A7A" w14:textId="6DD42FD5" w:rsidR="0008108E" w:rsidRPr="00E71DDF" w:rsidRDefault="008B3230" w:rsidP="008B3230">
      <w:pPr>
        <w:ind w:firstLine="709"/>
        <w:jc w:val="both"/>
        <w:rPr>
          <w:rFonts w:ascii="Times New Roman" w:hAnsi="Times New Roman" w:cs="Times New Roman"/>
          <w:b/>
          <w:bCs/>
          <w:i/>
          <w:iCs/>
          <w:sz w:val="20"/>
          <w:szCs w:val="20"/>
        </w:rPr>
      </w:pPr>
      <w:r>
        <w:rPr>
          <w:rFonts w:ascii="Times New Roman" w:hAnsi="Times New Roman" w:cs="Times New Roman"/>
          <w:sz w:val="20"/>
          <w:szCs w:val="20"/>
        </w:rPr>
        <w:t xml:space="preserve"> Iz izvora 32 </w:t>
      </w:r>
      <w:r w:rsidR="003D0A08">
        <w:rPr>
          <w:rFonts w:ascii="Times New Roman" w:hAnsi="Times New Roman" w:cs="Times New Roman"/>
          <w:sz w:val="20"/>
          <w:szCs w:val="20"/>
        </w:rPr>
        <w:t xml:space="preserve">nije </w:t>
      </w:r>
      <w:r w:rsidR="00D802C2">
        <w:rPr>
          <w:rFonts w:ascii="Times New Roman" w:hAnsi="Times New Roman" w:cs="Times New Roman"/>
          <w:sz w:val="20"/>
          <w:szCs w:val="20"/>
        </w:rPr>
        <w:t xml:space="preserve">ništa </w:t>
      </w:r>
      <w:r>
        <w:rPr>
          <w:rFonts w:ascii="Times New Roman" w:hAnsi="Times New Roman" w:cs="Times New Roman"/>
          <w:sz w:val="20"/>
          <w:szCs w:val="20"/>
        </w:rPr>
        <w:t>planiran</w:t>
      </w:r>
      <w:r w:rsidR="003D0A08">
        <w:rPr>
          <w:rFonts w:ascii="Times New Roman" w:hAnsi="Times New Roman" w:cs="Times New Roman"/>
          <w:sz w:val="20"/>
          <w:szCs w:val="20"/>
        </w:rPr>
        <w:t>o, ali je iznos od</w:t>
      </w:r>
      <w:r>
        <w:rPr>
          <w:rFonts w:ascii="Times New Roman" w:hAnsi="Times New Roman" w:cs="Times New Roman"/>
          <w:sz w:val="20"/>
          <w:szCs w:val="20"/>
        </w:rPr>
        <w:t xml:space="preserve"> </w:t>
      </w:r>
      <w:r w:rsidR="003D0A08">
        <w:rPr>
          <w:rFonts w:ascii="Times New Roman" w:hAnsi="Times New Roman" w:cs="Times New Roman"/>
          <w:sz w:val="20"/>
          <w:szCs w:val="20"/>
        </w:rPr>
        <w:t>1.500</w:t>
      </w:r>
      <w:r>
        <w:rPr>
          <w:rFonts w:ascii="Times New Roman" w:hAnsi="Times New Roman" w:cs="Times New Roman"/>
          <w:sz w:val="20"/>
          <w:szCs w:val="20"/>
        </w:rPr>
        <w:t xml:space="preserve"> eura</w:t>
      </w:r>
      <w:r w:rsidR="003D0A08">
        <w:rPr>
          <w:rFonts w:ascii="Times New Roman" w:hAnsi="Times New Roman" w:cs="Times New Roman"/>
          <w:sz w:val="20"/>
          <w:szCs w:val="20"/>
        </w:rPr>
        <w:t xml:space="preserve"> ostao neutrošen u prethodnoj godini te će se trošiti u 2024.</w:t>
      </w:r>
      <w:r>
        <w:rPr>
          <w:rFonts w:ascii="Times New Roman" w:hAnsi="Times New Roman" w:cs="Times New Roman"/>
          <w:sz w:val="20"/>
          <w:szCs w:val="20"/>
        </w:rPr>
        <w:t>, a iz izvora 54</w:t>
      </w:r>
      <w:r w:rsidR="003D0A08">
        <w:rPr>
          <w:rFonts w:ascii="Times New Roman" w:hAnsi="Times New Roman" w:cs="Times New Roman"/>
          <w:sz w:val="20"/>
          <w:szCs w:val="20"/>
        </w:rPr>
        <w:t xml:space="preserve"> planirano je 39.300</w:t>
      </w:r>
      <w:r>
        <w:rPr>
          <w:rFonts w:ascii="Times New Roman" w:hAnsi="Times New Roman" w:cs="Times New Roman"/>
          <w:sz w:val="20"/>
          <w:szCs w:val="20"/>
        </w:rPr>
        <w:t xml:space="preserve"> eura te </w:t>
      </w:r>
      <w:r w:rsidR="003D0A08">
        <w:rPr>
          <w:rFonts w:ascii="Times New Roman" w:hAnsi="Times New Roman" w:cs="Times New Roman"/>
          <w:sz w:val="20"/>
          <w:szCs w:val="20"/>
        </w:rPr>
        <w:t>je</w:t>
      </w:r>
      <w:r>
        <w:rPr>
          <w:rFonts w:ascii="Times New Roman" w:hAnsi="Times New Roman" w:cs="Times New Roman"/>
          <w:sz w:val="20"/>
          <w:szCs w:val="20"/>
        </w:rPr>
        <w:t xml:space="preserve"> rebalansom</w:t>
      </w:r>
      <w:r w:rsidR="003D0A08">
        <w:rPr>
          <w:rFonts w:ascii="Times New Roman" w:hAnsi="Times New Roman" w:cs="Times New Roman"/>
          <w:sz w:val="20"/>
          <w:szCs w:val="20"/>
        </w:rPr>
        <w:t xml:space="preserve"> dodano 4.050, za iznos koji nije utrošen u prethodnoj godini, te je novi plan za 2024. godinu po izvoru 54, 43.350 eura</w:t>
      </w:r>
      <w:r>
        <w:rPr>
          <w:rFonts w:ascii="Times New Roman" w:hAnsi="Times New Roman" w:cs="Times New Roman"/>
          <w:sz w:val="20"/>
          <w:szCs w:val="20"/>
        </w:rPr>
        <w:t>.</w:t>
      </w:r>
    </w:p>
    <w:p w14:paraId="2727BB66" w14:textId="77777777" w:rsidR="0008108E" w:rsidRDefault="0008108E"/>
    <w:sectPr w:rsidR="00081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439D0"/>
    <w:multiLevelType w:val="hybridMultilevel"/>
    <w:tmpl w:val="CD94651A"/>
    <w:lvl w:ilvl="0" w:tplc="BCE63E2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1B"/>
    <w:rsid w:val="000206C5"/>
    <w:rsid w:val="00030634"/>
    <w:rsid w:val="0008108E"/>
    <w:rsid w:val="001006A4"/>
    <w:rsid w:val="00130EC2"/>
    <w:rsid w:val="001430D1"/>
    <w:rsid w:val="001C25E6"/>
    <w:rsid w:val="00236C0F"/>
    <w:rsid w:val="002D2785"/>
    <w:rsid w:val="00386134"/>
    <w:rsid w:val="00395B84"/>
    <w:rsid w:val="003C23C6"/>
    <w:rsid w:val="003D0A08"/>
    <w:rsid w:val="003F11CD"/>
    <w:rsid w:val="004C5A1E"/>
    <w:rsid w:val="004D2705"/>
    <w:rsid w:val="004E74C2"/>
    <w:rsid w:val="00511B73"/>
    <w:rsid w:val="0051775C"/>
    <w:rsid w:val="00546B08"/>
    <w:rsid w:val="00560B29"/>
    <w:rsid w:val="00606283"/>
    <w:rsid w:val="00606485"/>
    <w:rsid w:val="00631721"/>
    <w:rsid w:val="0067472B"/>
    <w:rsid w:val="007319C9"/>
    <w:rsid w:val="00732A5E"/>
    <w:rsid w:val="00775C9F"/>
    <w:rsid w:val="007B3E95"/>
    <w:rsid w:val="007E3A89"/>
    <w:rsid w:val="008B3230"/>
    <w:rsid w:val="008F53A5"/>
    <w:rsid w:val="00917640"/>
    <w:rsid w:val="00937933"/>
    <w:rsid w:val="009A06B9"/>
    <w:rsid w:val="009D0090"/>
    <w:rsid w:val="00A04C2E"/>
    <w:rsid w:val="00A1085A"/>
    <w:rsid w:val="00A45E76"/>
    <w:rsid w:val="00B011A0"/>
    <w:rsid w:val="00B81AE1"/>
    <w:rsid w:val="00B970DF"/>
    <w:rsid w:val="00BB0AD3"/>
    <w:rsid w:val="00BB3568"/>
    <w:rsid w:val="00BB60E1"/>
    <w:rsid w:val="00BE0531"/>
    <w:rsid w:val="00BF34CD"/>
    <w:rsid w:val="00C4054B"/>
    <w:rsid w:val="00CF31E5"/>
    <w:rsid w:val="00D11876"/>
    <w:rsid w:val="00D149F9"/>
    <w:rsid w:val="00D4416D"/>
    <w:rsid w:val="00D50E62"/>
    <w:rsid w:val="00D52EA3"/>
    <w:rsid w:val="00D802C2"/>
    <w:rsid w:val="00D90AE7"/>
    <w:rsid w:val="00D94E08"/>
    <w:rsid w:val="00DB1622"/>
    <w:rsid w:val="00E1001B"/>
    <w:rsid w:val="00E71DDF"/>
    <w:rsid w:val="00E86819"/>
    <w:rsid w:val="00F04B78"/>
    <w:rsid w:val="00F90B70"/>
    <w:rsid w:val="00FA5AEA"/>
    <w:rsid w:val="00FB713A"/>
    <w:rsid w:val="00FD70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9C6C"/>
  <w15:chartTrackingRefBased/>
  <w15:docId w15:val="{3B6AE1E8-7EFE-4136-910E-26760863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53718">
      <w:bodyDiv w:val="1"/>
      <w:marLeft w:val="0"/>
      <w:marRight w:val="0"/>
      <w:marTop w:val="0"/>
      <w:marBottom w:val="0"/>
      <w:divBdr>
        <w:top w:val="none" w:sz="0" w:space="0" w:color="auto"/>
        <w:left w:val="none" w:sz="0" w:space="0" w:color="auto"/>
        <w:bottom w:val="none" w:sz="0" w:space="0" w:color="auto"/>
        <w:right w:val="none" w:sz="0" w:space="0" w:color="auto"/>
      </w:divBdr>
    </w:div>
    <w:div w:id="240675369">
      <w:bodyDiv w:val="1"/>
      <w:marLeft w:val="0"/>
      <w:marRight w:val="0"/>
      <w:marTop w:val="0"/>
      <w:marBottom w:val="0"/>
      <w:divBdr>
        <w:top w:val="none" w:sz="0" w:space="0" w:color="auto"/>
        <w:left w:val="none" w:sz="0" w:space="0" w:color="auto"/>
        <w:bottom w:val="none" w:sz="0" w:space="0" w:color="auto"/>
        <w:right w:val="none" w:sz="0" w:space="0" w:color="auto"/>
      </w:divBdr>
    </w:div>
    <w:div w:id="510611390">
      <w:bodyDiv w:val="1"/>
      <w:marLeft w:val="0"/>
      <w:marRight w:val="0"/>
      <w:marTop w:val="0"/>
      <w:marBottom w:val="0"/>
      <w:divBdr>
        <w:top w:val="none" w:sz="0" w:space="0" w:color="auto"/>
        <w:left w:val="none" w:sz="0" w:space="0" w:color="auto"/>
        <w:bottom w:val="none" w:sz="0" w:space="0" w:color="auto"/>
        <w:right w:val="none" w:sz="0" w:space="0" w:color="auto"/>
      </w:divBdr>
    </w:div>
    <w:div w:id="528107418">
      <w:bodyDiv w:val="1"/>
      <w:marLeft w:val="0"/>
      <w:marRight w:val="0"/>
      <w:marTop w:val="0"/>
      <w:marBottom w:val="0"/>
      <w:divBdr>
        <w:top w:val="none" w:sz="0" w:space="0" w:color="auto"/>
        <w:left w:val="none" w:sz="0" w:space="0" w:color="auto"/>
        <w:bottom w:val="none" w:sz="0" w:space="0" w:color="auto"/>
        <w:right w:val="none" w:sz="0" w:space="0" w:color="auto"/>
      </w:divBdr>
    </w:div>
    <w:div w:id="1328481144">
      <w:bodyDiv w:val="1"/>
      <w:marLeft w:val="0"/>
      <w:marRight w:val="0"/>
      <w:marTop w:val="0"/>
      <w:marBottom w:val="0"/>
      <w:divBdr>
        <w:top w:val="none" w:sz="0" w:space="0" w:color="auto"/>
        <w:left w:val="none" w:sz="0" w:space="0" w:color="auto"/>
        <w:bottom w:val="none" w:sz="0" w:space="0" w:color="auto"/>
        <w:right w:val="none" w:sz="0" w:space="0" w:color="auto"/>
      </w:divBdr>
    </w:div>
    <w:div w:id="1371029141">
      <w:bodyDiv w:val="1"/>
      <w:marLeft w:val="0"/>
      <w:marRight w:val="0"/>
      <w:marTop w:val="0"/>
      <w:marBottom w:val="0"/>
      <w:divBdr>
        <w:top w:val="none" w:sz="0" w:space="0" w:color="auto"/>
        <w:left w:val="none" w:sz="0" w:space="0" w:color="auto"/>
        <w:bottom w:val="none" w:sz="0" w:space="0" w:color="auto"/>
        <w:right w:val="none" w:sz="0" w:space="0" w:color="auto"/>
      </w:divBdr>
    </w:div>
    <w:div w:id="1517814705">
      <w:bodyDiv w:val="1"/>
      <w:marLeft w:val="0"/>
      <w:marRight w:val="0"/>
      <w:marTop w:val="0"/>
      <w:marBottom w:val="0"/>
      <w:divBdr>
        <w:top w:val="none" w:sz="0" w:space="0" w:color="auto"/>
        <w:left w:val="none" w:sz="0" w:space="0" w:color="auto"/>
        <w:bottom w:val="none" w:sz="0" w:space="0" w:color="auto"/>
        <w:right w:val="none" w:sz="0" w:space="0" w:color="auto"/>
      </w:divBdr>
    </w:div>
    <w:div w:id="16926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Biro</dc:creator>
  <cp:keywords/>
  <dc:description/>
  <cp:lastModifiedBy>Marina Šimunović</cp:lastModifiedBy>
  <cp:revision>4</cp:revision>
  <dcterms:created xsi:type="dcterms:W3CDTF">2024-05-10T12:19:00Z</dcterms:created>
  <dcterms:modified xsi:type="dcterms:W3CDTF">2024-05-10T12:36:00Z</dcterms:modified>
</cp:coreProperties>
</file>